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726257" w:rsidP="009253D3">
      <w:pPr>
        <w:jc w:val="center"/>
        <w:rPr>
          <w:color w:val="auto"/>
          <w:shd w:val="clear" w:color="auto" w:fill="auto"/>
        </w:rPr>
      </w:pPr>
      <w:r>
        <w:rPr>
          <w:b/>
        </w:rPr>
        <w:t>GFIN Regulatory Compendium</w:t>
      </w:r>
    </w:p>
    <w:p w:rsidR="00965117" w:rsidRPr="00C326C4" w:rsidP="00965117">
      <w:pPr>
        <w:spacing w:after="200"/>
        <w:rPr>
          <w:i/>
          <w:color w:val="auto"/>
          <w:shd w:val="clear" w:color="auto" w:fill="auto"/>
        </w:rPr>
      </w:pPr>
    </w:p>
    <w:tbl>
      <w:tblPr>
        <w:tblStyle w:val="TableGrid"/>
        <w:tblW w:w="0" w:type="auto"/>
        <w:tblLook w:val="04A0"/>
      </w:tblPr>
      <w:tblGrid>
        <w:gridCol w:w="2965"/>
        <w:gridCol w:w="9985"/>
      </w:tblGrid>
      <w:tr w:rsidTr="00C326C4">
        <w:tblPrEx>
          <w:tblW w:w="0" w:type="auto"/>
          <w:tblLook w:val="04A0"/>
        </w:tblPrEx>
        <w:tc>
          <w:tcPr>
            <w:tcW w:w="12950" w:type="dxa"/>
            <w:gridSpan w:val="2"/>
            <w:shd w:val="clear" w:color="auto" w:fill="D9D9D9" w:themeFill="background1" w:themeFillShade="D9"/>
          </w:tcPr>
          <w:p w:rsidR="00D02C00" w:rsidP="00D23551">
            <w:pPr>
              <w:spacing w:after="0"/>
              <w:rPr>
                <w:b/>
                <w:color w:val="auto"/>
                <w:sz w:val="28"/>
                <w:szCs w:val="28"/>
                <w:shd w:val="clear" w:color="auto" w:fill="auto"/>
              </w:rPr>
            </w:pPr>
            <w:r>
              <w:rPr>
                <w:b/>
                <w:sz w:val="28"/>
                <w:szCs w:val="28"/>
              </w:rPr>
              <w:t xml:space="preserve">GFIN Member:  </w:t>
            </w:r>
            <w:r w:rsidR="00D23551">
              <w:rPr>
                <w:b/>
                <w:sz w:val="28"/>
                <w:szCs w:val="28"/>
              </w:rPr>
              <w:t>Central Bank of Tunisia (CBT</w:t>
            </w:r>
            <w:r>
              <w:rPr>
                <w:b/>
                <w:sz w:val="28"/>
                <w:szCs w:val="28"/>
              </w:rPr>
              <w:t>)</w:t>
            </w:r>
          </w:p>
          <w:p w:rsidR="00D02C00" w:rsidP="001A7C75">
            <w:pPr>
              <w:rPr>
                <w:color w:val="auto"/>
                <w:shd w:val="clear" w:color="auto" w:fill="auto"/>
              </w:rPr>
            </w:pPr>
            <w:r w:rsidRPr="00965117">
              <w:t xml:space="preserve">Location:  </w:t>
            </w:r>
            <w:r w:rsidR="001A7C75">
              <w:t>Tunis, Tunisia</w:t>
            </w:r>
          </w:p>
        </w:tc>
      </w:tr>
      <w:tr w:rsidTr="00C326C4">
        <w:tblPrEx>
          <w:tblW w:w="0" w:type="auto"/>
          <w:tblLook w:val="04A0"/>
        </w:tblPrEx>
        <w:tc>
          <w:tcPr>
            <w:tcW w:w="2965" w:type="dxa"/>
            <w:shd w:val="clear" w:color="auto" w:fill="D9D9D9" w:themeFill="background1" w:themeFillShade="D9"/>
          </w:tcPr>
          <w:p w:rsidR="0018131D" w:rsidP="00965117">
            <w:pPr>
              <w:spacing w:after="200"/>
              <w:rPr>
                <w:color w:val="auto"/>
                <w:shd w:val="clear" w:color="auto" w:fill="auto"/>
              </w:rPr>
            </w:pPr>
            <w:r>
              <w:rPr>
                <w:b/>
              </w:rPr>
              <w:t>About Us</w:t>
            </w:r>
          </w:p>
        </w:tc>
        <w:tc>
          <w:tcPr>
            <w:tcW w:w="9985" w:type="dxa"/>
          </w:tcPr>
          <w:p w:rsidR="001A7C75" w:rsidP="0018131D">
            <w:pPr>
              <w:spacing w:after="200"/>
              <w:rPr>
                <w:color w:val="auto"/>
                <w:shd w:val="clear" w:color="auto" w:fill="auto"/>
              </w:rPr>
            </w:pPr>
            <w:r>
              <w:t xml:space="preserve">The Central Bank of Tunisia was created by the law N°58-90 dated September 19th, 1958. </w:t>
            </w:r>
          </w:p>
          <w:p w:rsidR="001A7C75" w:rsidP="001A7C75">
            <w:pPr>
              <w:spacing w:after="200"/>
              <w:rPr>
                <w:color w:val="auto"/>
                <w:shd w:val="clear" w:color="auto" w:fill="auto"/>
              </w:rPr>
            </w:pPr>
            <w:r>
              <w:t xml:space="preserve">According to the new Law dated on April 25, 2016, establishing the statute of the Central Bank of Tunisia, the main objective of the Central Bank of Tunisia is to maintain price stability. Its mandate also include: </w:t>
            </w:r>
          </w:p>
          <w:p w:rsidR="001A7C75" w:rsidP="00AD5D29">
            <w:pPr>
              <w:pStyle w:val="ListParagraph"/>
              <w:numPr>
                <w:ilvl w:val="0"/>
                <w:numId w:val="11"/>
              </w:numPr>
              <w:spacing w:after="0"/>
              <w:ind w:left="752"/>
              <w:rPr>
                <w:color w:val="auto"/>
                <w:shd w:val="clear" w:color="auto" w:fill="auto"/>
              </w:rPr>
            </w:pPr>
            <w:r>
              <w:t>Contribution to maintain financial stability through c</w:t>
            </w:r>
            <w:bookmarkStart w:id="0" w:name="_GoBack"/>
            <w:bookmarkEnd w:id="0"/>
            <w:r>
              <w:t xml:space="preserve">onducting macro-prudential policy to reduce systemic risk </w:t>
            </w:r>
          </w:p>
          <w:p w:rsidR="001A7C75" w:rsidP="00AD5D29">
            <w:pPr>
              <w:pStyle w:val="ListParagraph"/>
              <w:numPr>
                <w:ilvl w:val="0"/>
                <w:numId w:val="11"/>
              </w:numPr>
              <w:spacing w:after="0"/>
              <w:ind w:left="752"/>
              <w:rPr>
                <w:color w:val="auto"/>
                <w:shd w:val="clear" w:color="auto" w:fill="auto"/>
              </w:rPr>
            </w:pPr>
            <w:r>
              <w:t xml:space="preserve">Conducting monetary policy; </w:t>
            </w:r>
          </w:p>
          <w:p w:rsidR="001A7C75" w:rsidP="00AD5D29">
            <w:pPr>
              <w:pStyle w:val="ListParagraph"/>
              <w:numPr>
                <w:ilvl w:val="0"/>
                <w:numId w:val="11"/>
              </w:numPr>
              <w:spacing w:after="0"/>
              <w:ind w:left="752"/>
              <w:rPr>
                <w:color w:val="auto"/>
                <w:shd w:val="clear" w:color="auto" w:fill="auto"/>
              </w:rPr>
            </w:pPr>
            <w:r>
              <w:t xml:space="preserve">Holding and managing foreign exchange reserves in foreign currency and gold; </w:t>
            </w:r>
          </w:p>
          <w:p w:rsidR="001A7C75" w:rsidP="00AD5D29">
            <w:pPr>
              <w:pStyle w:val="ListParagraph"/>
              <w:numPr>
                <w:ilvl w:val="0"/>
                <w:numId w:val="11"/>
              </w:numPr>
              <w:spacing w:after="0"/>
              <w:ind w:left="752"/>
              <w:rPr>
                <w:color w:val="auto"/>
                <w:shd w:val="clear" w:color="auto" w:fill="auto"/>
              </w:rPr>
            </w:pPr>
            <w:r>
              <w:t xml:space="preserve">Controlling the circulation of money and ensuring the smooth operation of payment systems, guaranteeing their stability, soundness, efficiency and security; </w:t>
            </w:r>
          </w:p>
          <w:p w:rsidR="001A7C75" w:rsidP="00AD5D29">
            <w:pPr>
              <w:pStyle w:val="ListParagraph"/>
              <w:numPr>
                <w:ilvl w:val="0"/>
                <w:numId w:val="11"/>
              </w:numPr>
              <w:spacing w:after="0"/>
              <w:ind w:left="752"/>
              <w:rPr>
                <w:color w:val="auto"/>
                <w:shd w:val="clear" w:color="auto" w:fill="auto"/>
              </w:rPr>
            </w:pPr>
            <w:r>
              <w:t xml:space="preserve">Supervising banks and financial establishments; </w:t>
            </w:r>
          </w:p>
          <w:p w:rsidR="001A7C75" w:rsidP="00AD5D29">
            <w:pPr>
              <w:pStyle w:val="ListParagraph"/>
              <w:numPr>
                <w:ilvl w:val="0"/>
                <w:numId w:val="11"/>
              </w:numPr>
              <w:spacing w:after="0"/>
              <w:ind w:left="752"/>
              <w:rPr>
                <w:color w:val="auto"/>
                <w:shd w:val="clear" w:color="auto" w:fill="auto"/>
              </w:rPr>
            </w:pPr>
            <w:r>
              <w:t xml:space="preserve">Issuing currency and ensuring its circulation in Tunisia; </w:t>
            </w:r>
          </w:p>
          <w:p w:rsidR="001A7C75" w:rsidP="00AD5D29">
            <w:pPr>
              <w:pStyle w:val="ListParagraph"/>
              <w:numPr>
                <w:ilvl w:val="0"/>
                <w:numId w:val="11"/>
              </w:numPr>
              <w:spacing w:after="0"/>
              <w:ind w:left="752"/>
              <w:rPr>
                <w:color w:val="auto"/>
                <w:shd w:val="clear" w:color="auto" w:fill="auto"/>
              </w:rPr>
            </w:pPr>
            <w:r>
              <w:t xml:space="preserve">Advising the government on economic and financial matters in case of solicitation; </w:t>
            </w:r>
          </w:p>
          <w:p w:rsidR="001A7C75" w:rsidP="00AD5D29">
            <w:pPr>
              <w:pStyle w:val="ListParagraph"/>
              <w:numPr>
                <w:ilvl w:val="0"/>
                <w:numId w:val="11"/>
              </w:numPr>
              <w:spacing w:after="0"/>
              <w:ind w:left="752"/>
              <w:rPr>
                <w:color w:val="auto"/>
                <w:shd w:val="clear" w:color="auto" w:fill="auto"/>
              </w:rPr>
            </w:pPr>
            <w:r>
              <w:t xml:space="preserve">Collecting data related to the exercise of its missions; </w:t>
            </w:r>
          </w:p>
          <w:p w:rsidR="0018131D" w:rsidP="00AD5D29">
            <w:pPr>
              <w:pStyle w:val="ListParagraph"/>
              <w:numPr>
                <w:ilvl w:val="0"/>
                <w:numId w:val="11"/>
              </w:numPr>
              <w:spacing w:after="0"/>
              <w:ind w:left="752"/>
              <w:rPr>
                <w:color w:val="auto"/>
                <w:shd w:val="clear" w:color="auto" w:fill="auto"/>
              </w:rPr>
            </w:pPr>
            <w:r>
              <w:t>Protecting users of banking services.</w:t>
            </w:r>
          </w:p>
        </w:tc>
      </w:tr>
      <w:tr w:rsidTr="00C326C4">
        <w:tblPrEx>
          <w:tblW w:w="0" w:type="auto"/>
          <w:tblLook w:val="04A0"/>
        </w:tblPrEx>
        <w:tc>
          <w:tcPr>
            <w:tcW w:w="2965" w:type="dxa"/>
            <w:shd w:val="clear" w:color="auto" w:fill="D9D9D9" w:themeFill="background1" w:themeFillShade="D9"/>
          </w:tcPr>
          <w:p w:rsidR="003A679D" w:rsidP="00965117">
            <w:pPr>
              <w:spacing w:after="200"/>
              <w:rPr>
                <w:b/>
                <w:color w:val="auto"/>
                <w:shd w:val="clear" w:color="auto" w:fill="auto"/>
              </w:rPr>
            </w:pPr>
            <w:r>
              <w:rPr>
                <w:b/>
              </w:rPr>
              <w:t>Geographical Jurisdiction</w:t>
            </w:r>
          </w:p>
        </w:tc>
        <w:tc>
          <w:tcPr>
            <w:tcW w:w="9985" w:type="dxa"/>
          </w:tcPr>
          <w:p w:rsidR="003A679D" w:rsidP="0018131D">
            <w:pPr>
              <w:rPr>
                <w:color w:val="auto"/>
                <w:shd w:val="clear" w:color="auto" w:fill="auto"/>
              </w:rPr>
            </w:pPr>
            <w:r>
              <w:t>Tunisia</w:t>
            </w:r>
          </w:p>
        </w:tc>
      </w:tr>
      <w:tr w:rsidTr="00C326C4">
        <w:tblPrEx>
          <w:tblW w:w="0" w:type="auto"/>
          <w:tblLook w:val="04A0"/>
        </w:tblPrEx>
        <w:tc>
          <w:tcPr>
            <w:tcW w:w="2965" w:type="dxa"/>
            <w:shd w:val="clear" w:color="auto" w:fill="D9D9D9" w:themeFill="background1" w:themeFillShade="D9"/>
          </w:tcPr>
          <w:p w:rsidR="0018131D" w:rsidP="00965117">
            <w:pPr>
              <w:spacing w:after="200"/>
              <w:rPr>
                <w:color w:val="auto"/>
                <w:shd w:val="clear" w:color="auto" w:fill="auto"/>
              </w:rPr>
            </w:pPr>
            <w:r>
              <w:rPr>
                <w:b/>
              </w:rPr>
              <w:t>Industry Sectors We Regulate</w:t>
            </w:r>
          </w:p>
        </w:tc>
        <w:tc>
          <w:tcPr>
            <w:tcW w:w="9985" w:type="dxa"/>
          </w:tcPr>
          <w:p w:rsidR="003268C1" w:rsidP="000F1FE1">
            <w:pPr>
              <w:rPr>
                <w:color w:val="auto"/>
                <w:shd w:val="clear" w:color="auto" w:fill="auto"/>
              </w:rPr>
            </w:pPr>
            <w:r>
              <w:t xml:space="preserve">The Central Bank of Tunisia regulates the banking sector (banks, leasing companies, factoring companies and payment institutions). Its regulation covers the following aspects:  </w:t>
            </w:r>
          </w:p>
          <w:p w:rsidR="0018131D" w:rsidP="008A3280">
            <w:pPr>
              <w:pStyle w:val="ListParagraph"/>
              <w:numPr>
                <w:ilvl w:val="0"/>
                <w:numId w:val="8"/>
              </w:numPr>
              <w:rPr>
                <w:color w:val="auto"/>
                <w:shd w:val="clear" w:color="auto" w:fill="auto"/>
              </w:rPr>
            </w:pPr>
            <w:r w:rsidRPr="008A3280">
              <w:t>Regulation of banking activity in Tunisia (Bank loans, regulatory ratios, etc.) via laws and circulars</w:t>
            </w:r>
          </w:p>
          <w:p w:rsidR="008A3280" w:rsidP="008A3280">
            <w:pPr>
              <w:pStyle w:val="ListParagraph"/>
              <w:numPr>
                <w:ilvl w:val="0"/>
                <w:numId w:val="8"/>
              </w:numPr>
              <w:rPr>
                <w:color w:val="auto"/>
                <w:shd w:val="clear" w:color="auto" w:fill="auto"/>
              </w:rPr>
            </w:pPr>
            <w:r w:rsidRPr="008A3280">
              <w:t>Foreign exchange regulations</w:t>
            </w:r>
          </w:p>
          <w:p w:rsidR="008A3280" w:rsidP="007F364E">
            <w:pPr>
              <w:pStyle w:val="ListParagraph"/>
              <w:numPr>
                <w:ilvl w:val="0"/>
                <w:numId w:val="8"/>
              </w:numPr>
              <w:rPr>
                <w:color w:val="auto"/>
                <w:shd w:val="clear" w:color="auto" w:fill="auto"/>
              </w:rPr>
            </w:pPr>
            <w:r w:rsidRPr="008A3280">
              <w:t>regulations related to monetary policy (interest rate, refinancing, strategy ...</w:t>
            </w:r>
          </w:p>
        </w:tc>
      </w:tr>
      <w:tr w:rsidTr="007854A5">
        <w:tblPrEx>
          <w:tblW w:w="0" w:type="auto"/>
          <w:tblLook w:val="04A0"/>
        </w:tblPrEx>
        <w:tc>
          <w:tcPr>
            <w:tcW w:w="2965" w:type="dxa"/>
            <w:shd w:val="clear" w:color="auto" w:fill="D9D9D9" w:themeFill="background1" w:themeFillShade="D9"/>
          </w:tcPr>
          <w:p w:rsidR="00120E62" w:rsidP="007854A5">
            <w:pPr>
              <w:spacing w:after="200"/>
              <w:rPr>
                <w:color w:val="auto"/>
                <w:shd w:val="clear" w:color="auto" w:fill="auto"/>
              </w:rPr>
            </w:pPr>
            <w:r>
              <w:rPr>
                <w:b/>
              </w:rPr>
              <w:t>Types of Innovation Services we Offer</w:t>
            </w:r>
          </w:p>
        </w:tc>
        <w:tc>
          <w:tcPr>
            <w:tcW w:w="9985" w:type="dxa"/>
          </w:tcPr>
          <w:p w:rsidR="00D17365" w:rsidP="00D17365">
            <w:pPr>
              <w:pStyle w:val="ListParagraph"/>
              <w:numPr>
                <w:ilvl w:val="0"/>
                <w:numId w:val="4"/>
              </w:numPr>
              <w:rPr>
                <w:color w:val="auto"/>
                <w:shd w:val="clear" w:color="auto" w:fill="auto"/>
              </w:rPr>
            </w:pPr>
            <w:r>
              <w:t>Guidance on the application of laws and rules to innovative business models</w:t>
            </w:r>
          </w:p>
          <w:p w:rsidR="00D17365" w:rsidP="00D17365">
            <w:pPr>
              <w:pStyle w:val="ListParagraph"/>
              <w:numPr>
                <w:ilvl w:val="0"/>
                <w:numId w:val="4"/>
              </w:numPr>
              <w:rPr>
                <w:color w:val="auto"/>
                <w:shd w:val="clear" w:color="auto" w:fill="auto"/>
              </w:rPr>
            </w:pPr>
            <w:r>
              <w:t>Live Sandbox testing environment</w:t>
            </w:r>
          </w:p>
          <w:p w:rsidR="00F50E3D" w:rsidP="00D17365">
            <w:pPr>
              <w:pStyle w:val="ListParagraph"/>
              <w:numPr>
                <w:ilvl w:val="0"/>
                <w:numId w:val="4"/>
              </w:numPr>
              <w:rPr>
                <w:color w:val="auto"/>
                <w:shd w:val="clear" w:color="auto" w:fill="auto"/>
              </w:rPr>
            </w:pPr>
            <w:r>
              <w:t xml:space="preserve">Engagement with firms on </w:t>
            </w:r>
            <w:r>
              <w:t>regtech</w:t>
            </w:r>
            <w:r>
              <w:t xml:space="preserve"> solutions</w:t>
            </w:r>
          </w:p>
          <w:p w:rsidR="007F364E" w:rsidP="00D17365">
            <w:pPr>
              <w:pStyle w:val="ListParagraph"/>
              <w:numPr>
                <w:ilvl w:val="0"/>
                <w:numId w:val="4"/>
              </w:numPr>
              <w:rPr>
                <w:color w:val="auto"/>
                <w:shd w:val="clear" w:color="auto" w:fill="auto"/>
              </w:rPr>
            </w:pPr>
            <w:r>
              <w:t>Others (Innovation Hub</w:t>
            </w:r>
            <w:r w:rsidR="009A5977">
              <w:t>,  CBT Fintech committee, Dedicated FINTECH website https://fintech.bct.gov.tn/</w:t>
            </w:r>
            <w:r>
              <w:t>)</w:t>
            </w:r>
          </w:p>
        </w:tc>
      </w:tr>
      <w:tr w:rsidTr="00C326C4">
        <w:tblPrEx>
          <w:tblW w:w="0" w:type="auto"/>
          <w:tblLook w:val="04A0"/>
        </w:tblPrEx>
        <w:tc>
          <w:tcPr>
            <w:tcW w:w="2965" w:type="dxa"/>
            <w:shd w:val="clear" w:color="auto" w:fill="D9D9D9" w:themeFill="background1" w:themeFillShade="D9"/>
          </w:tcPr>
          <w:p w:rsidR="00FF44DE" w:rsidP="00480244">
            <w:pPr>
              <w:spacing w:after="200"/>
              <w:rPr>
                <w:b/>
                <w:color w:val="auto"/>
                <w:shd w:val="clear" w:color="auto" w:fill="auto"/>
              </w:rPr>
            </w:pPr>
            <w:r>
              <w:rPr>
                <w:b/>
              </w:rPr>
              <w:t>GFIN Cross-Border Testing Participation?</w:t>
            </w:r>
          </w:p>
        </w:tc>
        <w:tc>
          <w:tcPr>
            <w:tcW w:w="9985" w:type="dxa"/>
          </w:tcPr>
          <w:p w:rsidR="00FF44DE" w:rsidRPr="00D02C00" w:rsidP="00FF44DE">
            <w:pPr>
              <w:rPr>
                <w:color w:val="auto"/>
                <w:shd w:val="clear" w:color="auto" w:fill="auto"/>
              </w:rPr>
            </w:pPr>
            <w:r w:rsidRPr="00D02C00">
              <w:t>Yes</w:t>
            </w:r>
            <w:r>
              <w:t xml:space="preserve">  </w:t>
            </w:r>
          </w:p>
        </w:tc>
      </w:tr>
      <w:tr w:rsidTr="00C326C4">
        <w:tblPrEx>
          <w:tblW w:w="0" w:type="auto"/>
          <w:tblLook w:val="04A0"/>
        </w:tblPrEx>
        <w:tc>
          <w:tcPr>
            <w:tcW w:w="2965" w:type="dxa"/>
            <w:shd w:val="clear" w:color="auto" w:fill="D9D9D9" w:themeFill="background1" w:themeFillShade="D9"/>
          </w:tcPr>
          <w:p w:rsidR="00D02C00" w:rsidP="00FF44DE">
            <w:pPr>
              <w:spacing w:after="200"/>
              <w:rPr>
                <w:b/>
                <w:color w:val="auto"/>
                <w:shd w:val="clear" w:color="auto" w:fill="auto"/>
              </w:rPr>
            </w:pPr>
            <w:r>
              <w:rPr>
                <w:b/>
              </w:rPr>
              <w:t>Required Criteria for GFIN Cross-Border Testing</w:t>
            </w:r>
          </w:p>
        </w:tc>
        <w:tc>
          <w:tcPr>
            <w:tcW w:w="9985" w:type="dxa"/>
          </w:tcPr>
          <w:p w:rsidR="0003045C" w:rsidRPr="000F1FE1" w:rsidP="0003045C">
            <w:pPr>
              <w:pStyle w:val="ListParagraph"/>
              <w:numPr>
                <w:ilvl w:val="0"/>
                <w:numId w:val="6"/>
              </w:numPr>
              <w:rPr>
                <w:color w:val="auto"/>
                <w:shd w:val="clear" w:color="auto" w:fill="auto"/>
              </w:rPr>
            </w:pPr>
            <w:r w:rsidRPr="000F1FE1">
              <w:t>Business model must have relevance to securities laws</w:t>
            </w:r>
          </w:p>
          <w:p w:rsidR="0003045C" w:rsidRPr="000F1FE1" w:rsidP="0003045C">
            <w:pPr>
              <w:pStyle w:val="ListParagraph"/>
              <w:numPr>
                <w:ilvl w:val="0"/>
                <w:numId w:val="6"/>
              </w:numPr>
              <w:rPr>
                <w:color w:val="auto"/>
                <w:shd w:val="clear" w:color="auto" w:fill="auto"/>
              </w:rPr>
            </w:pPr>
            <w:r w:rsidRPr="000F1FE1">
              <w:t>Firm must have already commenced operations, or show operational readiness to commence operations within two months of application</w:t>
            </w:r>
          </w:p>
          <w:p w:rsidR="00D02C00" w:rsidRPr="00D02C00" w:rsidP="0003045C">
            <w:pPr>
              <w:pStyle w:val="ListParagraph"/>
              <w:numPr>
                <w:ilvl w:val="0"/>
                <w:numId w:val="6"/>
              </w:numPr>
              <w:rPr>
                <w:color w:val="auto"/>
                <w:shd w:val="clear" w:color="auto" w:fill="auto"/>
              </w:rPr>
            </w:pPr>
            <w:r w:rsidRPr="000F1FE1">
              <w:t xml:space="preserve">Fintech, </w:t>
            </w:r>
            <w:r w:rsidRPr="000F1FE1">
              <w:t>regtech</w:t>
            </w:r>
            <w:r w:rsidRPr="000F1FE1">
              <w:t xml:space="preserve"> or </w:t>
            </w:r>
            <w:r w:rsidRPr="000F1FE1">
              <w:t>suptech</w:t>
            </w:r>
            <w:r w:rsidRPr="000F1FE1">
              <w:t xml:space="preserve"> business models are accepted</w:t>
            </w:r>
            <w:r>
              <w:t xml:space="preserve">  </w:t>
            </w:r>
          </w:p>
        </w:tc>
      </w:tr>
      <w:tr w:rsidTr="00C326C4">
        <w:tblPrEx>
          <w:tblW w:w="0" w:type="auto"/>
          <w:tblLook w:val="04A0"/>
        </w:tblPrEx>
        <w:tc>
          <w:tcPr>
            <w:tcW w:w="2965" w:type="dxa"/>
            <w:shd w:val="clear" w:color="auto" w:fill="D9D9D9" w:themeFill="background1" w:themeFillShade="D9"/>
          </w:tcPr>
          <w:p w:rsidR="0018131D" w:rsidP="00D02C00">
            <w:pPr>
              <w:spacing w:after="200"/>
              <w:rPr>
                <w:color w:val="auto"/>
                <w:shd w:val="clear" w:color="auto" w:fill="auto"/>
              </w:rPr>
            </w:pPr>
            <w:r>
              <w:rPr>
                <w:b/>
              </w:rPr>
              <w:t xml:space="preserve">Our Contact Information </w:t>
            </w:r>
          </w:p>
        </w:tc>
        <w:tc>
          <w:tcPr>
            <w:tcW w:w="9985" w:type="dxa"/>
          </w:tcPr>
          <w:p w:rsidR="007F364E" w:rsidP="00426A95">
            <w:pPr>
              <w:rPr>
                <w:color w:val="0000FF"/>
                <w:shd w:val="clear" w:color="auto" w:fill="auto"/>
                <w:lang w:val="fr-FR"/>
              </w:rPr>
            </w:pPr>
            <w:r w:rsidRPr="009A5977">
              <w:rPr>
                <w:lang w:val="fr-FR"/>
              </w:rPr>
              <w:t xml:space="preserve">Email:  </w:t>
            </w:r>
            <w:r>
              <w:fldChar w:fldCharType="begin"/>
            </w:r>
            <w:r>
              <w:instrText xml:space="preserve"> HYPERLINK "mailto:fintech@bct.gov.tn" </w:instrText>
            </w:r>
            <w:r>
              <w:fldChar w:fldCharType="separate"/>
            </w:r>
            <w:r w:rsidRPr="00B83A13" w:rsidR="00426A95">
              <w:rPr>
                <w:rStyle w:val="Hyperlink"/>
                <w:lang w:val="fr-FR"/>
              </w:rPr>
              <w:t>fintech@bct.gov.tn</w:t>
            </w:r>
            <w:r>
              <w:fldChar w:fldCharType="end"/>
            </w:r>
          </w:p>
          <w:p w:rsidR="0018131D" w:rsidRPr="000F1FE1" w:rsidP="009A5977">
            <w:pPr>
              <w:rPr>
                <w:color w:val="0000FF"/>
                <w:shd w:val="clear" w:color="auto" w:fill="auto"/>
                <w:lang w:val="fr-FR"/>
              </w:rPr>
            </w:pPr>
            <w:r w:rsidRPr="000F1FE1">
              <w:rPr>
                <w:lang w:val="fr-FR"/>
              </w:rPr>
              <w:t xml:space="preserve">Contact Person:  </w:t>
            </w:r>
            <w:r w:rsidRPr="000F1FE1" w:rsidR="00426A95">
              <w:rPr>
                <w:lang w:val="fr-FR"/>
              </w:rPr>
              <w:t xml:space="preserve">Mrs Dorra MARRAKCHI </w:t>
            </w:r>
            <w:r>
              <w:fldChar w:fldCharType="begin"/>
            </w:r>
            <w:r>
              <w:instrText xml:space="preserve"> HYPERLINK "mailto:dorra.marrakchi@bct.gov.tn" </w:instrText>
            </w:r>
            <w:r>
              <w:fldChar w:fldCharType="separate"/>
            </w:r>
            <w:r w:rsidRPr="000F1FE1" w:rsidR="00426A95">
              <w:rPr>
                <w:rStyle w:val="Hyperlink"/>
                <w:lang w:val="fr-FR"/>
              </w:rPr>
              <w:t>dorra.marrakchi@bct.gov.tn</w:t>
            </w:r>
            <w:r>
              <w:fldChar w:fldCharType="end"/>
            </w:r>
          </w:p>
          <w:p w:rsidR="00426A95" w:rsidRPr="00426A95" w:rsidP="00426A95">
            <w:pPr>
              <w:rPr>
                <w:color w:val="auto"/>
                <w:shd w:val="clear" w:color="auto" w:fill="auto"/>
                <w:lang w:val="en-US"/>
              </w:rPr>
            </w:pPr>
            <w:r w:rsidRPr="00426A95">
              <w:rPr>
                <w:lang w:val="en-US"/>
              </w:rPr>
              <w:t xml:space="preserve">M. </w:t>
            </w:r>
            <w:r>
              <w:rPr>
                <w:lang w:val="en-US"/>
              </w:rPr>
              <w:t xml:space="preserve">Haithem ARFAOUI </w:t>
            </w:r>
            <w:r>
              <w:fldChar w:fldCharType="begin"/>
            </w:r>
            <w:r>
              <w:instrText xml:space="preserve"> HYPERLINK "mailto:HAITHEM.ARFAOUI@bct.gov.tn" </w:instrText>
            </w:r>
            <w:r>
              <w:fldChar w:fldCharType="separate"/>
            </w:r>
            <w:r w:rsidRPr="00B83A13">
              <w:rPr>
                <w:rStyle w:val="Hyperlink"/>
                <w:lang w:val="en-US"/>
              </w:rPr>
              <w:t>HAITHEM.ARFAOUI@bct.gov.tn</w:t>
            </w:r>
            <w:r>
              <w:fldChar w:fldCharType="end"/>
            </w:r>
            <w:r>
              <w:rPr>
                <w:lang w:val="en-US"/>
              </w:rPr>
              <w:t xml:space="preserve"> </w:t>
            </w:r>
          </w:p>
        </w:tc>
      </w:tr>
      <w:tr w:rsidTr="00C326C4">
        <w:tblPrEx>
          <w:tblW w:w="0" w:type="auto"/>
          <w:tblLook w:val="04A0"/>
        </w:tblPrEx>
        <w:tc>
          <w:tcPr>
            <w:tcW w:w="2965" w:type="dxa"/>
            <w:shd w:val="clear" w:color="auto" w:fill="D9D9D9" w:themeFill="background1" w:themeFillShade="D9"/>
          </w:tcPr>
          <w:p w:rsidR="00D02C00" w:rsidP="00D02C00">
            <w:pPr>
              <w:spacing w:after="200"/>
              <w:rPr>
                <w:b/>
                <w:color w:val="auto"/>
                <w:shd w:val="clear" w:color="auto" w:fill="auto"/>
              </w:rPr>
            </w:pPr>
            <w:r>
              <w:rPr>
                <w:b/>
              </w:rPr>
              <w:t>Website</w:t>
            </w:r>
          </w:p>
        </w:tc>
        <w:tc>
          <w:tcPr>
            <w:tcW w:w="9985" w:type="dxa"/>
          </w:tcPr>
          <w:p w:rsidR="009A5977" w:rsidRPr="009A5977" w:rsidP="00426A95">
            <w:pPr>
              <w:rPr>
                <w:rStyle w:val="Hyperlink"/>
                <w:color w:val="auto"/>
                <w:u w:val="none"/>
                <w:shd w:val="clear" w:color="auto" w:fill="auto"/>
              </w:rPr>
            </w:pPr>
            <w:r>
              <w:fldChar w:fldCharType="begin"/>
            </w:r>
            <w:r>
              <w:instrText xml:space="preserve"> HYPERLINK "https://fintech.bct.gov.tn/fr/accueil" </w:instrText>
            </w:r>
            <w:r>
              <w:fldChar w:fldCharType="separate"/>
            </w:r>
            <w:r w:rsidRPr="00B83A13" w:rsidR="00426A95">
              <w:rPr>
                <w:rStyle w:val="Hyperlink"/>
              </w:rPr>
              <w:t>https://fintech.bct.gov.tn/fr/accueil</w:t>
            </w:r>
            <w:r>
              <w:fldChar w:fldCharType="end"/>
            </w:r>
            <w:r w:rsidR="00426A95">
              <w:rPr>
                <w:rStyle w:val="Hyperlink"/>
                <w:color w:val="auto"/>
                <w:u w:val="none"/>
              </w:rPr>
              <w:t xml:space="preserve"> </w:t>
            </w:r>
          </w:p>
        </w:tc>
      </w:tr>
    </w:tbl>
    <w:p w:rsidR="00A7028F" w:rsidP="009E0988">
      <w:pPr>
        <w:spacing w:after="200"/>
        <w:rPr>
          <w:i/>
          <w:color w:val="auto"/>
          <w:shd w:val="clear" w:color="auto" w:fill="auto"/>
        </w:rPr>
      </w:pPr>
    </w:p>
    <w:p w:rsidR="009E0988" w:rsidRPr="009253D3" w:rsidP="009253D3">
      <w:pPr>
        <w:spacing w:after="200" w:line="276" w:lineRule="auto"/>
        <w:rPr>
          <w:b/>
          <w:color w:val="auto"/>
          <w:shd w:val="clear" w:color="auto" w:fill="auto"/>
        </w:rPr>
      </w:pPr>
      <w:r w:rsidRPr="009253D3">
        <w:rPr>
          <w:b/>
          <w:i/>
          <w:highlight w:val="yellow"/>
        </w:rPr>
        <w:br w:type="page"/>
      </w:r>
      <w:r w:rsidRPr="009253D3">
        <w:rPr>
          <w:b/>
          <w:i/>
          <w:highlight w:val="yellow"/>
        </w:rPr>
        <w:t>[Template - Please limit to two pages only]</w:t>
      </w:r>
    </w:p>
    <w:tbl>
      <w:tblPr>
        <w:tblStyle w:val="TableGrid"/>
        <w:tblW w:w="0" w:type="auto"/>
        <w:tblLook w:val="04A0"/>
      </w:tblPr>
      <w:tblGrid>
        <w:gridCol w:w="2965"/>
        <w:gridCol w:w="9985"/>
      </w:tblGrid>
      <w:tr w:rsidTr="00C326C4">
        <w:tblPrEx>
          <w:tblW w:w="0" w:type="auto"/>
          <w:tblLook w:val="04A0"/>
        </w:tblPrEx>
        <w:tc>
          <w:tcPr>
            <w:tcW w:w="12950" w:type="dxa"/>
            <w:gridSpan w:val="2"/>
            <w:shd w:val="clear" w:color="auto" w:fill="D9D9D9" w:themeFill="background1" w:themeFillShade="D9"/>
          </w:tcPr>
          <w:p w:rsidR="003E2A8D" w:rsidP="003E2A8D">
            <w:pPr>
              <w:spacing w:after="0"/>
              <w:rPr>
                <w:b/>
                <w:color w:val="auto"/>
                <w:sz w:val="28"/>
                <w:szCs w:val="28"/>
                <w:shd w:val="clear" w:color="auto" w:fill="auto"/>
              </w:rPr>
            </w:pPr>
            <w:r>
              <w:rPr>
                <w:b/>
                <w:sz w:val="28"/>
                <w:szCs w:val="28"/>
              </w:rPr>
              <w:t>GFIN Member: [insert name (abbreviation)]</w:t>
            </w:r>
          </w:p>
          <w:p w:rsidR="003E2A8D" w:rsidP="003E2A8D">
            <w:pPr>
              <w:rPr>
                <w:color w:val="auto"/>
                <w:shd w:val="clear" w:color="auto" w:fill="auto"/>
              </w:rPr>
            </w:pPr>
            <w:r>
              <w:t>Location: [insert jurisdiction]</w:t>
            </w:r>
          </w:p>
        </w:tc>
      </w:tr>
      <w:tr w:rsidTr="00C326C4">
        <w:tblPrEx>
          <w:tblW w:w="0" w:type="auto"/>
          <w:tblLook w:val="04A0"/>
        </w:tblPrEx>
        <w:tc>
          <w:tcPr>
            <w:tcW w:w="2965" w:type="dxa"/>
            <w:shd w:val="clear" w:color="auto" w:fill="D9D9D9" w:themeFill="background1" w:themeFillShade="D9"/>
          </w:tcPr>
          <w:p w:rsidR="003E2A8D" w:rsidP="00A8131B">
            <w:pPr>
              <w:spacing w:after="200"/>
              <w:rPr>
                <w:color w:val="auto"/>
                <w:shd w:val="clear" w:color="auto" w:fill="auto"/>
              </w:rPr>
            </w:pPr>
            <w:r>
              <w:rPr>
                <w:b/>
              </w:rPr>
              <w:t>About Us</w:t>
            </w:r>
          </w:p>
        </w:tc>
        <w:tc>
          <w:tcPr>
            <w:tcW w:w="9985" w:type="dxa"/>
          </w:tcPr>
          <w:p w:rsidR="003E2A8D" w:rsidP="00A8131B">
            <w:pPr>
              <w:spacing w:after="200"/>
              <w:rPr>
                <w:color w:val="auto"/>
                <w:shd w:val="clear" w:color="auto" w:fill="auto"/>
              </w:rPr>
            </w:pPr>
            <w:r w:rsidRPr="00D02C00">
              <w:t>[insert]</w:t>
            </w:r>
          </w:p>
        </w:tc>
      </w:tr>
      <w:tr w:rsidTr="00C326C4">
        <w:tblPrEx>
          <w:tblW w:w="0" w:type="auto"/>
          <w:tblLook w:val="04A0"/>
        </w:tblPrEx>
        <w:tc>
          <w:tcPr>
            <w:tcW w:w="2965" w:type="dxa"/>
            <w:shd w:val="clear" w:color="auto" w:fill="D9D9D9" w:themeFill="background1" w:themeFillShade="D9"/>
          </w:tcPr>
          <w:p w:rsidR="003E2A8D" w:rsidP="00A8131B">
            <w:pPr>
              <w:spacing w:after="200"/>
              <w:rPr>
                <w:b/>
                <w:color w:val="auto"/>
                <w:shd w:val="clear" w:color="auto" w:fill="auto"/>
              </w:rPr>
            </w:pPr>
            <w:r>
              <w:rPr>
                <w:b/>
              </w:rPr>
              <w:t>Geographical Jurisdiction</w:t>
            </w:r>
          </w:p>
        </w:tc>
        <w:tc>
          <w:tcPr>
            <w:tcW w:w="9985" w:type="dxa"/>
          </w:tcPr>
          <w:p w:rsidR="003E2A8D" w:rsidP="00A8131B">
            <w:pPr>
              <w:rPr>
                <w:color w:val="auto"/>
                <w:shd w:val="clear" w:color="auto" w:fill="auto"/>
              </w:rPr>
            </w:pPr>
            <w:r w:rsidRPr="00D02C00">
              <w:t>[insert]</w:t>
            </w:r>
          </w:p>
        </w:tc>
      </w:tr>
      <w:tr w:rsidTr="00941C4F">
        <w:tblPrEx>
          <w:tblW w:w="0" w:type="auto"/>
          <w:tblLook w:val="04A0"/>
        </w:tblPrEx>
        <w:tc>
          <w:tcPr>
            <w:tcW w:w="2965" w:type="dxa"/>
            <w:shd w:val="clear" w:color="auto" w:fill="D9D9D9" w:themeFill="background1" w:themeFillShade="D9"/>
          </w:tcPr>
          <w:p w:rsidR="00A040C1" w:rsidP="00941C4F">
            <w:pPr>
              <w:spacing w:after="200"/>
              <w:rPr>
                <w:color w:val="auto"/>
                <w:shd w:val="clear" w:color="auto" w:fill="auto"/>
              </w:rPr>
            </w:pPr>
            <w:r>
              <w:rPr>
                <w:b/>
              </w:rPr>
              <w:t>Industry Sectors We Regulate</w:t>
            </w:r>
          </w:p>
        </w:tc>
        <w:tc>
          <w:tcPr>
            <w:tcW w:w="9985" w:type="dxa"/>
          </w:tcPr>
          <w:p w:rsidR="00A040C1" w:rsidP="00941C4F">
            <w:pPr>
              <w:rPr>
                <w:color w:val="auto"/>
                <w:shd w:val="clear" w:color="auto" w:fill="auto"/>
              </w:rPr>
            </w:pPr>
            <w:r w:rsidRPr="00D02C00">
              <w:t>[insert]</w:t>
            </w:r>
          </w:p>
        </w:tc>
      </w:tr>
      <w:tr w:rsidTr="00C326C4">
        <w:tblPrEx>
          <w:tblW w:w="0" w:type="auto"/>
          <w:tblLook w:val="04A0"/>
        </w:tblPrEx>
        <w:tc>
          <w:tcPr>
            <w:tcW w:w="2965" w:type="dxa"/>
            <w:shd w:val="clear" w:color="auto" w:fill="D9D9D9" w:themeFill="background1" w:themeFillShade="D9"/>
          </w:tcPr>
          <w:p w:rsidR="003E2A8D" w:rsidP="00A8131B">
            <w:pPr>
              <w:spacing w:after="200"/>
              <w:rPr>
                <w:color w:val="auto"/>
                <w:shd w:val="clear" w:color="auto" w:fill="auto"/>
              </w:rPr>
            </w:pPr>
            <w:r>
              <w:rPr>
                <w:b/>
              </w:rPr>
              <w:t>Types of Innovation Services we Offer</w:t>
            </w:r>
          </w:p>
        </w:tc>
        <w:tc>
          <w:tcPr>
            <w:tcW w:w="9985" w:type="dxa"/>
          </w:tcPr>
          <w:p w:rsidR="00B10CBC" w:rsidP="00B10CBC">
            <w:pPr>
              <w:rPr>
                <w:color w:val="auto"/>
                <w:shd w:val="clear" w:color="auto" w:fill="auto"/>
              </w:rPr>
            </w:pPr>
            <w:r>
              <w:t>GFIN Member: check all that apply.  Please do not add any additional categories, except where indicated under “Other”.</w:t>
            </w:r>
          </w:p>
          <w:p w:rsidR="00F50E3D" w:rsidP="00B63D2E">
            <w:pPr>
              <w:spacing w:after="20"/>
              <w:rPr>
                <w:color w:val="auto"/>
                <w:shd w:val="clear" w:color="auto" w:fill="auto"/>
              </w:rPr>
            </w:pPr>
            <w:r>
              <w:t xml:space="preserve"> </w:t>
            </w:r>
            <w:bookmarkStart w:id="1" w:name="Check4"/>
            <w:r>
              <w:rPr>
                <w:rFonts w:ascii="Wingdings 2" w:eastAsia="Wingdings 2" w:hAnsi="Wingdings 2" w:cs="Wingdings 2"/>
              </w:rPr>
              <w:sym w:font="Wingdings 2" w:char="F0A3"/>
            </w:r>
            <w:bookmarkEnd w:id="1"/>
            <w:r>
              <w:t xml:space="preserve">   Guidance on the application of laws and rules to innovative business models</w:t>
            </w:r>
          </w:p>
          <w:p w:rsidR="00A7028F" w:rsidP="00B63D2E">
            <w:pPr>
              <w:spacing w:after="20"/>
              <w:rPr>
                <w:color w:val="auto"/>
                <w:shd w:val="clear" w:color="auto" w:fill="auto"/>
              </w:rPr>
            </w:pPr>
            <w:r>
              <w:t xml:space="preserve"> </w:t>
            </w:r>
            <w:r>
              <w:rPr>
                <w:rFonts w:ascii="Wingdings 2" w:eastAsia="Wingdings 2" w:hAnsi="Wingdings 2" w:cs="Wingdings 2"/>
              </w:rPr>
              <w:sym w:font="Wingdings 2" w:char="F0A3"/>
            </w:r>
            <w:r>
              <w:t xml:space="preserve">   Support with authorisation to operate in our jurisdiction</w:t>
            </w:r>
          </w:p>
          <w:p w:rsidR="00F50E3D" w:rsidP="00B63D2E">
            <w:pPr>
              <w:spacing w:after="20"/>
              <w:rPr>
                <w:color w:val="auto"/>
                <w:shd w:val="clear" w:color="auto" w:fill="auto"/>
              </w:rPr>
            </w:pPr>
            <w:r>
              <w:t xml:space="preserve"> </w:t>
            </w:r>
            <w:r>
              <w:rPr>
                <w:rFonts w:ascii="Wingdings 2" w:eastAsia="Wingdings 2" w:hAnsi="Wingdings 2" w:cs="Wingdings 2"/>
              </w:rPr>
              <w:sym w:font="Wingdings 2" w:char="F0A3"/>
            </w:r>
            <w:r>
              <w:t xml:space="preserve">   Live Sandbox testing environment</w:t>
            </w:r>
          </w:p>
          <w:p w:rsidR="006D5096" w:rsidP="00B63D2E">
            <w:pPr>
              <w:spacing w:after="20"/>
              <w:rPr>
                <w:color w:val="auto"/>
                <w:shd w:val="clear" w:color="auto" w:fill="auto"/>
              </w:rPr>
            </w:pPr>
            <w:r>
              <w:t xml:space="preserve"> </w:t>
            </w:r>
            <w:r>
              <w:rPr>
                <w:rFonts w:ascii="Wingdings 2" w:eastAsia="Wingdings 2" w:hAnsi="Wingdings 2" w:cs="Wingdings 2"/>
              </w:rPr>
              <w:sym w:font="Wingdings 2" w:char="F0A3"/>
            </w:r>
            <w:r>
              <w:t xml:space="preserve">   Waivers or exemptions, for any entity meeting certain criteria</w:t>
            </w:r>
          </w:p>
          <w:p w:rsidR="00F50E3D" w:rsidP="00B63D2E">
            <w:pPr>
              <w:spacing w:after="20"/>
              <w:rPr>
                <w:color w:val="auto"/>
                <w:shd w:val="clear" w:color="auto" w:fill="auto"/>
              </w:rPr>
            </w:pPr>
            <w:r>
              <w:t xml:space="preserve"> </w:t>
            </w:r>
            <w:r>
              <w:rPr>
                <w:rFonts w:ascii="Wingdings 2" w:eastAsia="Wingdings 2" w:hAnsi="Wingdings 2" w:cs="Wingdings 2"/>
              </w:rPr>
              <w:sym w:font="Wingdings 2" w:char="F0A3"/>
            </w:r>
            <w:r>
              <w:t xml:space="preserve">   Engagement with firms on </w:t>
            </w:r>
            <w:r>
              <w:t>regtech</w:t>
            </w:r>
            <w:r>
              <w:t xml:space="preserve"> and </w:t>
            </w:r>
            <w:r>
              <w:t>suptech</w:t>
            </w:r>
            <w:r>
              <w:t xml:space="preserve"> solutions</w:t>
            </w:r>
          </w:p>
          <w:p w:rsidR="007803AF" w:rsidP="00B63D2E">
            <w:pPr>
              <w:spacing w:after="20"/>
              <w:rPr>
                <w:color w:val="auto"/>
                <w:shd w:val="clear" w:color="auto" w:fill="auto"/>
              </w:rPr>
            </w:pPr>
            <w:r>
              <w:t xml:space="preserve"> </w:t>
            </w:r>
            <w:r>
              <w:rPr>
                <w:rFonts w:ascii="Wingdings 2" w:eastAsia="Wingdings 2" w:hAnsi="Wingdings 2" w:cs="Wingdings 2"/>
              </w:rPr>
              <w:sym w:font="Wingdings 2" w:char="F0A3"/>
            </w:r>
            <w:r>
              <w:t xml:space="preserve">   Engagement with innovators and/or other third parties (e.g. academics, consultants and other organisations)</w:t>
            </w:r>
          </w:p>
          <w:p w:rsidR="00C3643C" w:rsidP="00B63D2E">
            <w:pPr>
              <w:spacing w:after="20"/>
              <w:rPr>
                <w:color w:val="auto"/>
                <w:shd w:val="clear" w:color="auto" w:fill="auto"/>
              </w:rPr>
            </w:pPr>
            <w:r>
              <w:t xml:space="preserve"> </w:t>
            </w:r>
            <w:r>
              <w:rPr>
                <w:rFonts w:ascii="Wingdings 2" w:eastAsia="Wingdings 2" w:hAnsi="Wingdings 2" w:cs="Wingdings 2"/>
              </w:rPr>
              <w:sym w:font="Wingdings 2" w:char="F0A3"/>
            </w:r>
            <w:r>
              <w:t xml:space="preserve">   Facilitating hackathons, </w:t>
            </w:r>
            <w:r>
              <w:t>TechSprints</w:t>
            </w:r>
            <w:r>
              <w:t xml:space="preserve"> or similar events</w:t>
            </w:r>
          </w:p>
          <w:p w:rsidR="007803AF" w:rsidP="00B63D2E">
            <w:pPr>
              <w:spacing w:after="20"/>
              <w:rPr>
                <w:color w:val="auto"/>
                <w:shd w:val="clear" w:color="auto" w:fill="auto"/>
              </w:rPr>
            </w:pPr>
            <w:r>
              <w:t xml:space="preserve"> </w:t>
            </w:r>
            <w:r>
              <w:rPr>
                <w:rFonts w:ascii="Wingdings 2" w:eastAsia="Wingdings 2" w:hAnsi="Wingdings 2" w:cs="Wingdings 2"/>
              </w:rPr>
              <w:sym w:font="Wingdings 2" w:char="F0A3"/>
            </w:r>
            <w:r>
              <w:t xml:space="preserve">   Assistance finding potential public or private sector partners / service providers (</w:t>
            </w:r>
            <w:r w:rsidRPr="00A7028F">
              <w:rPr>
                <w:i/>
              </w:rPr>
              <w:t>enquire for details</w:t>
            </w:r>
            <w:r>
              <w:t>)</w:t>
            </w:r>
          </w:p>
          <w:p w:rsidR="00C3643C" w:rsidP="00B63D2E">
            <w:pPr>
              <w:spacing w:after="20"/>
              <w:rPr>
                <w:color w:val="auto"/>
                <w:shd w:val="clear" w:color="auto" w:fill="auto"/>
              </w:rPr>
            </w:pPr>
            <w:r>
              <w:t xml:space="preserve"> </w:t>
            </w:r>
            <w:r>
              <w:rPr>
                <w:rFonts w:ascii="Wingdings 2" w:eastAsia="Wingdings 2" w:hAnsi="Wingdings 2" w:cs="Wingdings 2"/>
              </w:rPr>
              <w:sym w:font="Wingdings 2" w:char="F0A3"/>
            </w:r>
            <w:r>
              <w:t xml:space="preserve">   Other [</w:t>
            </w:r>
            <w:r w:rsidRPr="00A7028F">
              <w:rPr>
                <w:i/>
              </w:rPr>
              <w:t>specify</w:t>
            </w:r>
            <w:r>
              <w:t>]</w:t>
            </w:r>
          </w:p>
          <w:p w:rsidR="00F50E3D" w:rsidP="00A7028F">
            <w:pPr>
              <w:rPr>
                <w:color w:val="auto"/>
                <w:shd w:val="clear" w:color="auto" w:fill="auto"/>
              </w:rPr>
            </w:pPr>
            <w:r w:rsidRPr="00A7028F">
              <w:rPr>
                <w:i/>
              </w:rPr>
              <w:t>[Note to GFIN Members: if there is an additional service you offer that cannot fit into one of the above categories, and you think merits a separate category, please let us know]</w:t>
            </w:r>
            <w:r>
              <w:t xml:space="preserve"> </w:t>
            </w:r>
          </w:p>
        </w:tc>
      </w:tr>
      <w:tr w:rsidTr="00C326C4">
        <w:tblPrEx>
          <w:tblW w:w="0" w:type="auto"/>
          <w:tblLook w:val="04A0"/>
        </w:tblPrEx>
        <w:tc>
          <w:tcPr>
            <w:tcW w:w="2965" w:type="dxa"/>
            <w:shd w:val="clear" w:color="auto" w:fill="D9D9D9" w:themeFill="background1" w:themeFillShade="D9"/>
          </w:tcPr>
          <w:p w:rsidR="003E2A8D" w:rsidP="00A8131B">
            <w:pPr>
              <w:spacing w:after="200"/>
              <w:rPr>
                <w:b/>
                <w:color w:val="auto"/>
                <w:shd w:val="clear" w:color="auto" w:fill="auto"/>
              </w:rPr>
            </w:pPr>
            <w:r>
              <w:rPr>
                <w:b/>
              </w:rPr>
              <w:t>GFIN Cross-Border Testing Participation?</w:t>
            </w:r>
          </w:p>
        </w:tc>
        <w:tc>
          <w:tcPr>
            <w:tcW w:w="9985" w:type="dxa"/>
          </w:tcPr>
          <w:p w:rsidR="003E2A8D" w:rsidRPr="00D02C00" w:rsidP="00A8131B">
            <w:pPr>
              <w:rPr>
                <w:color w:val="auto"/>
                <w:shd w:val="clear" w:color="auto" w:fill="auto"/>
              </w:rPr>
            </w:pPr>
            <w:r>
              <w:t>[Yes/No]</w:t>
            </w:r>
          </w:p>
        </w:tc>
      </w:tr>
      <w:tr w:rsidTr="00C326C4">
        <w:tblPrEx>
          <w:tblW w:w="0" w:type="auto"/>
          <w:tblLook w:val="04A0"/>
        </w:tblPrEx>
        <w:tc>
          <w:tcPr>
            <w:tcW w:w="2965" w:type="dxa"/>
            <w:shd w:val="clear" w:color="auto" w:fill="D9D9D9" w:themeFill="background1" w:themeFillShade="D9"/>
          </w:tcPr>
          <w:p w:rsidR="003E2A8D" w:rsidP="00A8131B">
            <w:pPr>
              <w:spacing w:after="200"/>
              <w:rPr>
                <w:b/>
                <w:color w:val="auto"/>
                <w:shd w:val="clear" w:color="auto" w:fill="auto"/>
              </w:rPr>
            </w:pPr>
            <w:r>
              <w:rPr>
                <w:b/>
              </w:rPr>
              <w:t>Required Criteria for GFIN Cross-Border Testing</w:t>
            </w:r>
          </w:p>
        </w:tc>
        <w:tc>
          <w:tcPr>
            <w:tcW w:w="9985" w:type="dxa"/>
          </w:tcPr>
          <w:p w:rsidR="003E2A8D" w:rsidP="00A8131B">
            <w:pPr>
              <w:pStyle w:val="ListParagraph"/>
              <w:numPr>
                <w:ilvl w:val="0"/>
                <w:numId w:val="6"/>
              </w:numPr>
              <w:rPr>
                <w:color w:val="auto"/>
                <w:shd w:val="clear" w:color="auto" w:fill="auto"/>
              </w:rPr>
            </w:pPr>
            <w:r>
              <w:t>[insert bullets]</w:t>
            </w:r>
          </w:p>
          <w:p w:rsidR="007803AF" w:rsidP="00A8131B">
            <w:pPr>
              <w:pStyle w:val="ListParagraph"/>
              <w:numPr>
                <w:ilvl w:val="0"/>
                <w:numId w:val="6"/>
              </w:numPr>
              <w:rPr>
                <w:color w:val="auto"/>
                <w:shd w:val="clear" w:color="auto" w:fill="auto"/>
              </w:rPr>
            </w:pPr>
          </w:p>
          <w:p w:rsidR="003E2A8D" w:rsidP="007803AF">
            <w:pPr>
              <w:rPr>
                <w:color w:val="auto"/>
                <w:shd w:val="clear" w:color="auto" w:fill="auto"/>
              </w:rPr>
            </w:pPr>
            <w:r>
              <w:t>Criteria may differ for domestic services.</w:t>
            </w:r>
          </w:p>
          <w:p w:rsidR="00AA6FBC" w:rsidRPr="00D02C00" w:rsidP="007803AF">
            <w:pPr>
              <w:rPr>
                <w:color w:val="auto"/>
                <w:shd w:val="clear" w:color="auto" w:fill="auto"/>
              </w:rPr>
            </w:pPr>
            <w:r>
              <w:rPr>
                <w:i/>
              </w:rPr>
              <w:t>[</w:t>
            </w:r>
            <w:r w:rsidRPr="00A7028F">
              <w:rPr>
                <w:i/>
              </w:rPr>
              <w:t xml:space="preserve">Note to GFIN Members: </w:t>
            </w:r>
            <w:r>
              <w:rPr>
                <w:i/>
              </w:rPr>
              <w:t>this section is only required if you plan to participate in cross-border testing</w:t>
            </w:r>
            <w:r w:rsidRPr="00A7028F">
              <w:rPr>
                <w:i/>
              </w:rPr>
              <w:t>]</w:t>
            </w:r>
          </w:p>
        </w:tc>
      </w:tr>
      <w:tr w:rsidTr="00C326C4">
        <w:tblPrEx>
          <w:tblW w:w="0" w:type="auto"/>
          <w:tblLook w:val="04A0"/>
        </w:tblPrEx>
        <w:tc>
          <w:tcPr>
            <w:tcW w:w="2965" w:type="dxa"/>
            <w:shd w:val="clear" w:color="auto" w:fill="D9D9D9" w:themeFill="background1" w:themeFillShade="D9"/>
          </w:tcPr>
          <w:p w:rsidR="003E2A8D" w:rsidP="00A8131B">
            <w:pPr>
              <w:spacing w:after="200"/>
              <w:rPr>
                <w:color w:val="auto"/>
                <w:shd w:val="clear" w:color="auto" w:fill="auto"/>
              </w:rPr>
            </w:pPr>
            <w:r>
              <w:rPr>
                <w:b/>
              </w:rPr>
              <w:t xml:space="preserve">Our Contact Information </w:t>
            </w:r>
          </w:p>
        </w:tc>
        <w:tc>
          <w:tcPr>
            <w:tcW w:w="9985" w:type="dxa"/>
          </w:tcPr>
          <w:p w:rsidR="003E2A8D" w:rsidP="00A8131B">
            <w:pPr>
              <w:rPr>
                <w:color w:val="0000FF"/>
                <w:shd w:val="clear" w:color="auto" w:fill="auto"/>
              </w:rPr>
            </w:pPr>
            <w:r>
              <w:t xml:space="preserve">Email: </w:t>
            </w:r>
            <w:r>
              <w:rPr>
                <w:rStyle w:val="Hyperlink"/>
              </w:rPr>
              <w:t>[insert]</w:t>
            </w:r>
          </w:p>
          <w:p w:rsidR="003E2A8D" w:rsidP="003E2A8D">
            <w:pPr>
              <w:rPr>
                <w:color w:val="0000FF"/>
                <w:shd w:val="clear" w:color="auto" w:fill="auto"/>
              </w:rPr>
            </w:pPr>
          </w:p>
        </w:tc>
      </w:tr>
      <w:tr w:rsidTr="00C326C4">
        <w:tblPrEx>
          <w:tblW w:w="0" w:type="auto"/>
          <w:tblLook w:val="04A0"/>
        </w:tblPrEx>
        <w:tc>
          <w:tcPr>
            <w:tcW w:w="2965" w:type="dxa"/>
            <w:shd w:val="clear" w:color="auto" w:fill="D9D9D9" w:themeFill="background1" w:themeFillShade="D9"/>
          </w:tcPr>
          <w:p w:rsidR="003E2A8D" w:rsidP="00A8131B">
            <w:pPr>
              <w:spacing w:after="200"/>
              <w:rPr>
                <w:b/>
                <w:color w:val="auto"/>
                <w:shd w:val="clear" w:color="auto" w:fill="auto"/>
              </w:rPr>
            </w:pPr>
            <w:r>
              <w:rPr>
                <w:b/>
              </w:rPr>
              <w:t>Website</w:t>
            </w:r>
          </w:p>
        </w:tc>
        <w:tc>
          <w:tcPr>
            <w:tcW w:w="9985" w:type="dxa"/>
          </w:tcPr>
          <w:p w:rsidR="003E2A8D" w:rsidP="00A8131B">
            <w:pPr>
              <w:rPr>
                <w:rStyle w:val="Hyperlink"/>
                <w:color w:val="0000FF"/>
                <w:shd w:val="clear" w:color="auto" w:fill="auto"/>
              </w:rPr>
            </w:pPr>
            <w:r>
              <w:rPr>
                <w:rStyle w:val="Hyperlink"/>
              </w:rPr>
              <w:t>[insert]</w:t>
            </w:r>
          </w:p>
        </w:tc>
      </w:tr>
    </w:tbl>
    <w:p w:rsidR="003E2A8D" w:rsidP="00E62D75">
      <w:pPr>
        <w:spacing w:after="200" w:line="276" w:lineRule="auto"/>
        <w:rPr>
          <w:color w:val="0000FF"/>
          <w:shd w:val="clear" w:color="auto" w:fill="auto"/>
        </w:rPr>
      </w:pPr>
    </w:p>
    <w:sectPr w:rsidSect="00044203">
      <w:footerReference w:type="default" r:id="rId7"/>
      <w:pgSz w:w="15840" w:h="12240" w:orient="landscape"/>
      <w:pgMar w:top="900" w:right="1440" w:bottom="900" w:left="1440" w:header="720" w:footer="16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2314052"/>
      <w:docPartObj>
        <w:docPartGallery w:val="Page Numbers (Bottom of Page)"/>
        <w:docPartUnique/>
      </w:docPartObj>
    </w:sdtPr>
    <w:sdtEndPr>
      <w:rPr>
        <w:noProof/>
      </w:rPr>
    </w:sdtEndPr>
    <w:sdtContent>
      <w:p w:rsidR="00945046">
        <w:pPr>
          <w:pStyle w:val="Footer"/>
          <w:jc w:val="center"/>
          <w:rPr>
            <w:color w:val="auto"/>
            <w:shd w:val="clear" w:color="auto" w:fill="auto"/>
          </w:rPr>
        </w:pPr>
        <w:r>
          <w:fldChar w:fldCharType="begin"/>
        </w:r>
        <w:r>
          <w:instrText xml:space="preserve"> PAGE   \* MERGEFORMAT </w:instrText>
        </w:r>
        <w:r>
          <w:fldChar w:fldCharType="separate"/>
        </w:r>
        <w:r w:rsidR="000F1FE1">
          <w:rPr>
            <w:noProof/>
          </w:rPr>
          <w:t>2</w:t>
        </w:r>
        <w:r>
          <w:rPr>
            <w:noProof/>
          </w:rPr>
          <w:fldChar w:fldCharType="end"/>
        </w:r>
      </w:p>
    </w:sdtContent>
  </w:sdt>
  <w:p w:rsidR="00945046">
    <w:pPr>
      <w:pStyle w:val="Footer"/>
      <w:rPr>
        <w:color w:val="auto"/>
        <w:shd w:val="clear" w:color="auto" w:fill="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43778"/>
    <w:multiLevelType w:val="hybridMultilevel"/>
    <w:tmpl w:val="75B07FF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4402961"/>
    <w:multiLevelType w:val="hybridMultilevel"/>
    <w:tmpl w:val="6AE2EFB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6B32898"/>
    <w:multiLevelType w:val="hybridMultilevel"/>
    <w:tmpl w:val="C3DEBE4A"/>
    <w:lvl w:ilvl="0">
      <w:start w:val="5"/>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616F1A"/>
    <w:multiLevelType w:val="hybridMultilevel"/>
    <w:tmpl w:val="26E8E1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9F25758"/>
    <w:multiLevelType w:val="hybridMultilevel"/>
    <w:tmpl w:val="21EA92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C51231A"/>
    <w:multiLevelType w:val="hybridMultilevel"/>
    <w:tmpl w:val="43A80CBE"/>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8C274F7"/>
    <w:multiLevelType w:val="hybridMultilevel"/>
    <w:tmpl w:val="090C61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A05542B"/>
    <w:multiLevelType w:val="hybridMultilevel"/>
    <w:tmpl w:val="75D0149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AF44A30"/>
    <w:multiLevelType w:val="hybridMultilevel"/>
    <w:tmpl w:val="CA387C3E"/>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9">
    <w:nsid w:val="542431BF"/>
    <w:multiLevelType w:val="hybridMultilevel"/>
    <w:tmpl w:val="755CB12A"/>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0">
    <w:nsid w:val="6AC305CC"/>
    <w:multiLevelType w:val="hybridMultilevel"/>
    <w:tmpl w:val="44E8DE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4"/>
  </w:num>
  <w:num w:numId="5">
    <w:abstractNumId w:val="9"/>
  </w:num>
  <w:num w:numId="6">
    <w:abstractNumId w:val="8"/>
  </w:num>
  <w:num w:numId="7">
    <w:abstractNumId w:val="2"/>
  </w:num>
  <w:num w:numId="8">
    <w:abstractNumId w:val="3"/>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Calibri"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DB2"/>
    <w:pPr>
      <w:spacing w:after="120" w:line="240"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257"/>
    <w:rPr>
      <w:color w:val="0000FF" w:themeColor="hyperlink"/>
      <w:u w:val="single"/>
    </w:rPr>
  </w:style>
  <w:style w:type="paragraph" w:styleId="Header">
    <w:name w:val="header"/>
    <w:basedOn w:val="Normal"/>
    <w:link w:val="HeaderChar"/>
    <w:uiPriority w:val="99"/>
    <w:unhideWhenUsed/>
    <w:rsid w:val="00945046"/>
    <w:pPr>
      <w:tabs>
        <w:tab w:val="center" w:pos="4680"/>
        <w:tab w:val="right" w:pos="9360"/>
      </w:tabs>
      <w:spacing w:after="0"/>
    </w:pPr>
  </w:style>
  <w:style w:type="character" w:customStyle="1" w:styleId="HeaderChar">
    <w:name w:val="Header Char"/>
    <w:basedOn w:val="DefaultParagraphFont"/>
    <w:link w:val="Header"/>
    <w:uiPriority w:val="99"/>
    <w:rsid w:val="00945046"/>
    <w:rPr>
      <w:rFonts w:ascii="Times New Roman" w:hAnsi="Times New Roman" w:cs="Times New Roman"/>
      <w:sz w:val="24"/>
      <w:lang w:val="en-CA"/>
    </w:rPr>
  </w:style>
  <w:style w:type="paragraph" w:styleId="Footer">
    <w:name w:val="footer"/>
    <w:basedOn w:val="Normal"/>
    <w:link w:val="FooterChar"/>
    <w:uiPriority w:val="99"/>
    <w:unhideWhenUsed/>
    <w:rsid w:val="00945046"/>
    <w:pPr>
      <w:tabs>
        <w:tab w:val="center" w:pos="4680"/>
        <w:tab w:val="right" w:pos="9360"/>
      </w:tabs>
      <w:spacing w:after="0"/>
    </w:pPr>
  </w:style>
  <w:style w:type="character" w:customStyle="1" w:styleId="FooterChar">
    <w:name w:val="Footer Char"/>
    <w:basedOn w:val="DefaultParagraphFont"/>
    <w:link w:val="Footer"/>
    <w:uiPriority w:val="99"/>
    <w:rsid w:val="00945046"/>
    <w:rPr>
      <w:rFonts w:ascii="Times New Roman" w:hAnsi="Times New Roman" w:cs="Times New Roman"/>
      <w:sz w:val="24"/>
      <w:lang w:val="en-CA"/>
    </w:rPr>
  </w:style>
  <w:style w:type="paragraph" w:styleId="ListParagraph">
    <w:name w:val="List Paragraph"/>
    <w:basedOn w:val="Normal"/>
    <w:uiPriority w:val="34"/>
    <w:qFormat/>
    <w:rsid w:val="00965117"/>
    <w:pPr>
      <w:ind w:left="720"/>
      <w:contextualSpacing/>
    </w:pPr>
  </w:style>
  <w:style w:type="character" w:styleId="CommentReference">
    <w:name w:val="annotation reference"/>
    <w:basedOn w:val="DefaultParagraphFont"/>
    <w:uiPriority w:val="99"/>
    <w:semiHidden/>
    <w:unhideWhenUsed/>
    <w:rsid w:val="00636F14"/>
    <w:rPr>
      <w:sz w:val="16"/>
      <w:szCs w:val="16"/>
    </w:rPr>
  </w:style>
  <w:style w:type="paragraph" w:styleId="CommentText">
    <w:name w:val="annotation text"/>
    <w:basedOn w:val="Normal"/>
    <w:link w:val="CommentTextChar"/>
    <w:uiPriority w:val="99"/>
    <w:semiHidden/>
    <w:unhideWhenUsed/>
    <w:rsid w:val="00636F14"/>
    <w:rPr>
      <w:sz w:val="20"/>
      <w:szCs w:val="20"/>
    </w:rPr>
  </w:style>
  <w:style w:type="character" w:customStyle="1" w:styleId="CommentTextChar">
    <w:name w:val="Comment Text Char"/>
    <w:basedOn w:val="DefaultParagraphFont"/>
    <w:link w:val="CommentText"/>
    <w:uiPriority w:val="99"/>
    <w:semiHidden/>
    <w:rsid w:val="00636F14"/>
    <w:rPr>
      <w:rFonts w:ascii="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36F14"/>
    <w:rPr>
      <w:b/>
      <w:bCs/>
    </w:rPr>
  </w:style>
  <w:style w:type="character" w:customStyle="1" w:styleId="CommentSubjectChar">
    <w:name w:val="Comment Subject Char"/>
    <w:basedOn w:val="CommentTextChar"/>
    <w:link w:val="CommentSubject"/>
    <w:uiPriority w:val="99"/>
    <w:semiHidden/>
    <w:rsid w:val="00636F14"/>
    <w:rPr>
      <w:rFonts w:ascii="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636F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14"/>
    <w:rPr>
      <w:rFonts w:ascii="Segoe UI" w:hAnsi="Segoe UI" w:cs="Segoe UI"/>
      <w:sz w:val="18"/>
      <w:szCs w:val="18"/>
      <w:lang w:val="en-CA"/>
    </w:rPr>
  </w:style>
  <w:style w:type="character" w:customStyle="1" w:styleId="Mentionnonrsolue1">
    <w:name w:val="Mention non résolue1"/>
    <w:basedOn w:val="DefaultParagraphFont"/>
    <w:uiPriority w:val="99"/>
    <w:semiHidden/>
    <w:unhideWhenUsed/>
    <w:rsid w:val="00172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E7FF4F1B0874BAF57905606EE8CC7" ma:contentTypeVersion="11" ma:contentTypeDescription="Create a new document." ma:contentTypeScope="" ma:versionID="a1b8e06063a16bf0171c4400bee49f64">
  <xsd:schema xmlns:xsd="http://www.w3.org/2001/XMLSchema" xmlns:xs="http://www.w3.org/2001/XMLSchema" xmlns:p="http://schemas.microsoft.com/office/2006/metadata/properties" xmlns:ns3="82d51e01-e51e-40b1-a68c-fc2506d3e10a" xmlns:ns4="ece54263-d455-44d0-8d3c-5af804cb86f6" targetNamespace="http://schemas.microsoft.com/office/2006/metadata/properties" ma:root="true" ma:fieldsID="3d75214210476a8f092236b6213be0e1" ns3:_="" ns4:_="">
    <xsd:import namespace="82d51e01-e51e-40b1-a68c-fc2506d3e10a"/>
    <xsd:import namespace="ece54263-d455-44d0-8d3c-5af804cb86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51e01-e51e-40b1-a68c-fc2506d3e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54263-d455-44d0-8d3c-5af804cb86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CA1DF-A3A7-4D0B-A2EC-9FC88263B360}">
  <ds:schemaRefs>
    <ds:schemaRef ds:uri="http://schemas.microsoft.com/sharepoint/v3/contenttype/forms"/>
  </ds:schemaRefs>
</ds:datastoreItem>
</file>

<file path=customXml/itemProps2.xml><?xml version="1.0" encoding="utf-8"?>
<ds:datastoreItem xmlns:ds="http://schemas.openxmlformats.org/officeDocument/2006/customXml" ds:itemID="{B4DF13DA-8750-4DDB-B750-517A061B59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A6349-59D8-42BC-A722-520E1E121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51e01-e51e-40b1-a68c-fc2506d3e10a"/>
    <ds:schemaRef ds:uri="ece54263-d455-44d0-8d3c-5af804cb8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otalTime>0</TotalTime>
  <Pages>4</Pages>
  <Words>522</Words>
  <Characters>3298</Characters>
  <Application>Microsoft Office Word</Application>
  <DocSecurity>0</DocSecurity>
  <Lines>28</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