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leGrid"/>
        <w:tblW w:w="0" w:type="auto"/>
        <w:tblInd w:w="0" w:type="dxa"/>
        <w:tblLook w:val="04A0"/>
      </w:tblPr>
      <w:tblGrid>
        <w:gridCol w:w="2965"/>
        <w:gridCol w:w="9985"/>
      </w:tblGrid>
      <w:tr w:rsidTr="0065401A">
        <w:tblPrEx>
          <w:tblW w:w="0" w:type="auto"/>
          <w:tblInd w:w="0" w:type="dxa"/>
          <w:tblLook w:val="04A0"/>
        </w:tblPrEx>
        <w:tc>
          <w:tcPr>
            <w:tcW w:w="129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0"/>
              <w:rPr>
                <w:b/>
                <w:color w:val="auto"/>
                <w:sz w:val="28"/>
                <w:szCs w:val="28"/>
                <w:shd w:val="clear" w:color="auto" w:fill="auto"/>
              </w:rPr>
            </w:pPr>
            <w:r>
              <w:rPr>
                <w:b/>
                <w:sz w:val="28"/>
                <w:szCs w:val="28"/>
              </w:rPr>
              <w:t>GFIN Member: National Futures Association (NFA)</w:t>
            </w:r>
          </w:p>
          <w:p w:rsidR="0065401A">
            <w:pPr>
              <w:rPr>
                <w:color w:val="auto"/>
                <w:shd w:val="clear" w:color="auto" w:fill="auto"/>
              </w:rPr>
            </w:pPr>
            <w:r>
              <w:t>Location: Chicago and New York City, United States</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color w:val="auto"/>
                <w:shd w:val="clear" w:color="auto" w:fill="auto"/>
              </w:rPr>
            </w:pPr>
            <w:r>
              <w:rPr>
                <w:b/>
              </w:rPr>
              <w:t>About Us</w:t>
            </w:r>
          </w:p>
        </w:tc>
        <w:tc>
          <w:tcPr>
            <w:tcW w:w="9985" w:type="dxa"/>
            <w:tcBorders>
              <w:top w:val="single" w:sz="4" w:space="0" w:color="auto"/>
              <w:left w:val="single" w:sz="4" w:space="0" w:color="auto"/>
              <w:bottom w:val="single" w:sz="4" w:space="0" w:color="auto"/>
              <w:right w:val="single" w:sz="4" w:space="0" w:color="auto"/>
            </w:tcBorders>
            <w:hideMark/>
          </w:tcPr>
          <w:p w:rsidR="0065401A">
            <w:pPr>
              <w:spacing w:after="200"/>
              <w:rPr>
                <w:color w:val="auto"/>
                <w:shd w:val="clear" w:color="auto" w:fill="auto"/>
              </w:rPr>
            </w:pPr>
            <w:r>
              <w:t>NFA is the industrywide, self-regulatory organization for the U.S. derivatives industry, providing innovative and effective regulatory programs.</w:t>
            </w:r>
          </w:p>
          <w:p w:rsidR="0065401A">
            <w:pPr>
              <w:spacing w:after="200"/>
              <w:rPr>
                <w:color w:val="auto"/>
                <w:shd w:val="clear" w:color="auto" w:fill="auto"/>
              </w:rPr>
            </w:pPr>
            <w:r>
              <w:t>Designated by the CFTC as a registered futures association, NFA strives every day to safeguard the integrity of the derivatives markets, protect investors and ensure Members meet their regulatory responsibilities.</w:t>
            </w:r>
          </w:p>
          <w:p w:rsidR="0065401A" w:rsidRPr="009103AF">
            <w:pPr>
              <w:spacing w:after="200"/>
              <w:rPr>
                <w:color w:val="auto"/>
                <w:shd w:val="clear" w:color="auto" w:fill="auto"/>
              </w:rPr>
            </w:pPr>
            <w:r w:rsidRPr="009103AF">
              <w:t xml:space="preserve">Our members </w:t>
            </w:r>
            <w:r w:rsidRPr="009103AF" w:rsidR="00150796">
              <w:t>include</w:t>
            </w:r>
            <w:r w:rsidRPr="009103AF">
              <w:t xml:space="preserve"> </w:t>
            </w:r>
            <w:r w:rsidR="00FF3E74">
              <w:t>Commodity Pool Operators (</w:t>
            </w:r>
            <w:r w:rsidRPr="009103AF">
              <w:t>CPO</w:t>
            </w:r>
            <w:r w:rsidR="00FF3E74">
              <w:t>)</w:t>
            </w:r>
            <w:r w:rsidRPr="009103AF">
              <w:t xml:space="preserve">, </w:t>
            </w:r>
            <w:r w:rsidR="00FF3E74">
              <w:t>Commodity Trading Advisors</w:t>
            </w:r>
            <w:r w:rsidRPr="009103AF" w:rsidR="00FF3E74">
              <w:t xml:space="preserve"> </w:t>
            </w:r>
            <w:r w:rsidR="00FF3E74">
              <w:t>(</w:t>
            </w:r>
            <w:r w:rsidRPr="009103AF">
              <w:t>CTA</w:t>
            </w:r>
            <w:r w:rsidR="00FF3E74">
              <w:t>)</w:t>
            </w:r>
            <w:r w:rsidRPr="009103AF">
              <w:t xml:space="preserve">, </w:t>
            </w:r>
            <w:r w:rsidR="00FF3E74">
              <w:t xml:space="preserve"> Futures</w:t>
            </w:r>
            <w:r w:rsidR="00FF3E74">
              <w:t xml:space="preserve"> Commission Merchants</w:t>
            </w:r>
            <w:r w:rsidRPr="009103AF" w:rsidR="00FF3E74">
              <w:t xml:space="preserve"> </w:t>
            </w:r>
            <w:r w:rsidR="00FF3E74">
              <w:t>(</w:t>
            </w:r>
            <w:r w:rsidRPr="009103AF">
              <w:t>FCM</w:t>
            </w:r>
            <w:r w:rsidR="00FF3E74">
              <w:t>)</w:t>
            </w:r>
            <w:r w:rsidRPr="009103AF">
              <w:t xml:space="preserve">, </w:t>
            </w:r>
            <w:r w:rsidR="00FF3E74">
              <w:t xml:space="preserve">Forex Dealer Members (FDMs), </w:t>
            </w:r>
            <w:r w:rsidRPr="009103AF">
              <w:t>Swap Dealers, and Introducing Brokers (IBs)</w:t>
            </w:r>
          </w:p>
          <w:p w:rsidR="009103AF">
            <w:pPr>
              <w:spacing w:after="200"/>
              <w:rPr>
                <w:color w:val="auto"/>
                <w:shd w:val="clear" w:color="auto" w:fill="auto"/>
              </w:rPr>
            </w:pPr>
            <w:r w:rsidRPr="009103AF">
              <w:t>NFA has also provided regulatory services to designated contract markets ("DCMs") on a contractual basis for more than ten years. Since 2013, NFA has offered similar services to SEFs.</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b/>
                <w:color w:val="auto"/>
                <w:shd w:val="clear" w:color="auto" w:fill="auto"/>
              </w:rPr>
            </w:pPr>
            <w:r>
              <w:rPr>
                <w:b/>
              </w:rPr>
              <w:t>Geographical Jurisdiction</w:t>
            </w:r>
          </w:p>
        </w:tc>
        <w:tc>
          <w:tcPr>
            <w:tcW w:w="9985" w:type="dxa"/>
            <w:tcBorders>
              <w:top w:val="single" w:sz="4" w:space="0" w:color="auto"/>
              <w:left w:val="single" w:sz="4" w:space="0" w:color="auto"/>
              <w:bottom w:val="single" w:sz="4" w:space="0" w:color="auto"/>
              <w:right w:val="single" w:sz="4" w:space="0" w:color="auto"/>
            </w:tcBorders>
            <w:hideMark/>
          </w:tcPr>
          <w:p w:rsidR="0065401A">
            <w:pPr>
              <w:rPr>
                <w:color w:val="auto"/>
                <w:shd w:val="clear" w:color="auto" w:fill="auto"/>
              </w:rPr>
            </w:pPr>
            <w:r>
              <w:t>United States</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color w:val="auto"/>
                <w:shd w:val="clear" w:color="auto" w:fill="auto"/>
              </w:rPr>
            </w:pPr>
            <w:r>
              <w:rPr>
                <w:b/>
              </w:rPr>
              <w:t>Industry Sectors We Regulate</w:t>
            </w:r>
          </w:p>
        </w:tc>
        <w:tc>
          <w:tcPr>
            <w:tcW w:w="9985" w:type="dxa"/>
            <w:tcBorders>
              <w:top w:val="single" w:sz="4" w:space="0" w:color="auto"/>
              <w:left w:val="single" w:sz="4" w:space="0" w:color="auto"/>
              <w:bottom w:val="single" w:sz="4" w:space="0" w:color="auto"/>
              <w:right w:val="single" w:sz="4" w:space="0" w:color="auto"/>
            </w:tcBorders>
            <w:hideMark/>
          </w:tcPr>
          <w:p w:rsidR="0065401A">
            <w:pPr>
              <w:rPr>
                <w:color w:val="auto"/>
                <w:shd w:val="clear" w:color="auto" w:fill="auto"/>
              </w:rPr>
            </w:pPr>
            <w:r>
              <w:t>NFA, a self-regulatory organization for the U.S. derivatives industry, regulates Commodity Pool Operator, Commodity Trading Advisor, Futures Commission Merchant, Forex Dealer Member, Introducing Broker and Swap Dealer Members, and provides regulatory services to designated contract markets and swap execution facilities.</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color w:val="auto"/>
                <w:shd w:val="clear" w:color="auto" w:fill="auto"/>
              </w:rPr>
            </w:pPr>
            <w:r>
              <w:rPr>
                <w:b/>
              </w:rPr>
              <w:t>Types of Innovation Services we Offer</w:t>
            </w:r>
          </w:p>
        </w:tc>
        <w:tc>
          <w:tcPr>
            <w:tcW w:w="9985" w:type="dxa"/>
            <w:tcBorders>
              <w:top w:val="single" w:sz="4" w:space="0" w:color="auto"/>
              <w:left w:val="single" w:sz="4" w:space="0" w:color="auto"/>
              <w:bottom w:val="single" w:sz="4" w:space="0" w:color="auto"/>
              <w:right w:val="single" w:sz="4" w:space="0" w:color="auto"/>
            </w:tcBorders>
            <w:hideMark/>
          </w:tcPr>
          <w:p w:rsidR="0065401A">
            <w:pPr>
              <w:spacing w:after="20"/>
              <w:rPr>
                <w:color w:val="auto"/>
                <w:shd w:val="clear" w:color="auto" w:fill="auto"/>
              </w:rPr>
            </w:pPr>
            <w:bookmarkStart w:id="0" w:name="Check4"/>
            <w:r>
              <w:rPr>
                <w:rFonts w:ascii="Wingdings 2" w:eastAsia="Wingdings 2" w:hAnsi="Wingdings 2" w:cs="Wingdings 2"/>
              </w:rPr>
              <w:sym w:font="Wingdings 2" w:char="F0A3"/>
            </w:r>
            <w:bookmarkEnd w:id="0"/>
            <w:r>
              <w:t xml:space="preserve">   Guidance on the application of laws and rules to innovative business models</w:t>
            </w:r>
          </w:p>
          <w:p w:rsidR="0065401A">
            <w:pPr>
              <w:spacing w:after="20"/>
              <w:rPr>
                <w:color w:val="auto"/>
                <w:shd w:val="clear" w:color="auto" w:fill="auto"/>
              </w:rPr>
            </w:pPr>
            <w:r>
              <w:rPr>
                <w:rFonts w:ascii="Wingdings 2" w:eastAsia="Wingdings 2" w:hAnsi="Wingdings 2" w:cs="Wingdings 2"/>
              </w:rPr>
              <w:sym w:font="Wingdings 2" w:char="F052"/>
            </w:r>
            <w:r>
              <w:t xml:space="preserve">   Support with authorisation to operate in our jurisdiction</w:t>
            </w:r>
          </w:p>
          <w:p w:rsidR="0065401A">
            <w:pPr>
              <w:spacing w:after="20"/>
              <w:rPr>
                <w:color w:val="auto"/>
                <w:shd w:val="clear" w:color="auto" w:fill="auto"/>
              </w:rPr>
            </w:pPr>
            <w:r>
              <w:rPr>
                <w:rFonts w:ascii="Wingdings 2" w:eastAsia="Wingdings 2" w:hAnsi="Wingdings 2" w:cs="Wingdings 2"/>
              </w:rPr>
              <w:sym w:font="Wingdings 2" w:char="F0A3"/>
            </w:r>
            <w:r>
              <w:t xml:space="preserve">   Live Sandbox testing environment</w:t>
            </w:r>
          </w:p>
          <w:p w:rsidR="0065401A">
            <w:pPr>
              <w:spacing w:after="20"/>
              <w:rPr>
                <w:color w:val="auto"/>
                <w:shd w:val="clear" w:color="auto" w:fill="auto"/>
              </w:rPr>
            </w:pPr>
            <w:r>
              <w:rPr>
                <w:rFonts w:ascii="Wingdings 2" w:eastAsia="Wingdings 2" w:hAnsi="Wingdings 2" w:cs="Wingdings 2"/>
              </w:rPr>
              <w:sym w:font="Wingdings 2" w:char="F052"/>
            </w:r>
            <w:r>
              <w:t xml:space="preserve">   </w:t>
            </w:r>
            <w:r>
              <w:t>Waivers or exemptions, for any entity meeting certain criteria</w:t>
            </w:r>
          </w:p>
          <w:p w:rsidR="0065401A">
            <w:pPr>
              <w:spacing w:after="20"/>
              <w:rPr>
                <w:color w:val="auto"/>
                <w:shd w:val="clear" w:color="auto" w:fill="auto"/>
              </w:rPr>
            </w:pPr>
            <w:r>
              <w:rPr>
                <w:rFonts w:ascii="Wingdings 2" w:eastAsia="Wingdings 2" w:hAnsi="Wingdings 2" w:cs="Wingdings 2"/>
              </w:rPr>
              <w:sym w:font="Wingdings 2" w:char="F052"/>
            </w:r>
            <w:r>
              <w:rPr>
                <w:rFonts w:ascii="Wingdings 2" w:eastAsia="Wingdings 2" w:hAnsi="Wingdings 2" w:cs="Wingdings 2"/>
              </w:rPr>
              <w:t xml:space="preserve"> </w:t>
            </w:r>
            <w:r>
              <w:t xml:space="preserve">Engagement with firms on </w:t>
            </w:r>
            <w:r>
              <w:t>regtech</w:t>
            </w:r>
            <w:r>
              <w:t xml:space="preserve"> and </w:t>
            </w:r>
            <w:r>
              <w:t>suptech</w:t>
            </w:r>
            <w:r>
              <w:t xml:space="preserve"> solutions</w:t>
            </w:r>
          </w:p>
          <w:p w:rsidR="0065401A">
            <w:pPr>
              <w:spacing w:after="20"/>
              <w:rPr>
                <w:color w:val="auto"/>
                <w:shd w:val="clear" w:color="auto" w:fill="auto"/>
              </w:rPr>
            </w:pPr>
            <w:r>
              <w:rPr>
                <w:rFonts w:ascii="Wingdings 2" w:eastAsia="Wingdings 2" w:hAnsi="Wingdings 2" w:cs="Wingdings 2"/>
              </w:rPr>
              <w:sym w:font="Wingdings 2" w:char="F052"/>
            </w:r>
            <w:r>
              <w:rPr>
                <w:rFonts w:ascii="Wingdings 2" w:eastAsia="Wingdings 2" w:hAnsi="Wingdings 2" w:cs="Wingdings 2"/>
              </w:rPr>
              <w:t xml:space="preserve"> </w:t>
            </w:r>
            <w:r>
              <w:t>Engagement with innovators and/or other third parties (e.g. academics, consultants and other organisations)</w:t>
            </w:r>
          </w:p>
          <w:p w:rsidR="0065401A">
            <w:pPr>
              <w:spacing w:after="20"/>
              <w:rPr>
                <w:color w:val="auto"/>
                <w:shd w:val="clear" w:color="auto" w:fill="auto"/>
              </w:rPr>
            </w:pPr>
            <w:r>
              <w:t xml:space="preserve"> </w:t>
            </w:r>
            <w:r>
              <w:rPr>
                <w:rFonts w:ascii="Wingdings 2" w:eastAsia="Wingdings 2" w:hAnsi="Wingdings 2" w:cs="Wingdings 2"/>
              </w:rPr>
              <w:sym w:font="Wingdings 2" w:char="F0A3"/>
            </w:r>
            <w:r>
              <w:t xml:space="preserve">   Facilitating hackathons, </w:t>
            </w:r>
            <w:r>
              <w:t>TechSprints</w:t>
            </w:r>
            <w:r>
              <w:t xml:space="preserve"> or similar events</w:t>
            </w:r>
          </w:p>
          <w:p w:rsidR="0065401A">
            <w:pPr>
              <w:spacing w:after="20"/>
              <w:rPr>
                <w:color w:val="auto"/>
                <w:shd w:val="clear" w:color="auto" w:fill="auto"/>
              </w:rPr>
            </w:pPr>
            <w:r>
              <w:t xml:space="preserve"> </w:t>
            </w:r>
            <w:r>
              <w:rPr>
                <w:rFonts w:ascii="Wingdings 2" w:eastAsia="Wingdings 2" w:hAnsi="Wingdings 2" w:cs="Wingdings 2"/>
              </w:rPr>
              <w:sym w:font="Wingdings 2" w:char="F0A3"/>
            </w:r>
            <w:r>
              <w:t xml:space="preserve">   Assistance finding potential public or private sector partners / service providers (</w:t>
            </w:r>
            <w:r>
              <w:rPr>
                <w:i/>
              </w:rPr>
              <w:t>enquire for details</w:t>
            </w:r>
            <w:r>
              <w:t>)</w:t>
            </w:r>
          </w:p>
          <w:p w:rsidR="0065401A">
            <w:pPr>
              <w:spacing w:after="20"/>
              <w:rPr>
                <w:color w:val="auto"/>
                <w:shd w:val="clear" w:color="auto" w:fill="auto"/>
              </w:rPr>
            </w:pPr>
            <w:r>
              <w:t xml:space="preserve">    Other [</w:t>
            </w:r>
            <w:r>
              <w:rPr>
                <w:i/>
              </w:rPr>
              <w:t>specify</w:t>
            </w:r>
            <w:r>
              <w:t>]</w:t>
            </w:r>
          </w:p>
          <w:p w:rsidR="0065401A">
            <w:pPr>
              <w:rPr>
                <w:color w:val="auto"/>
                <w:shd w:val="clear" w:color="auto" w:fill="auto"/>
              </w:rPr>
            </w:pPr>
            <w:bookmarkStart w:id="1" w:name="_GoBack"/>
            <w:bookmarkEnd w:id="1"/>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b/>
                <w:color w:val="auto"/>
                <w:shd w:val="clear" w:color="auto" w:fill="auto"/>
              </w:rPr>
            </w:pPr>
            <w:r>
              <w:rPr>
                <w:b/>
              </w:rPr>
              <w:t>GFIN Cross-Border Testing Participation?</w:t>
            </w:r>
          </w:p>
        </w:tc>
        <w:tc>
          <w:tcPr>
            <w:tcW w:w="9985" w:type="dxa"/>
            <w:tcBorders>
              <w:top w:val="single" w:sz="4" w:space="0" w:color="auto"/>
              <w:left w:val="single" w:sz="4" w:space="0" w:color="auto"/>
              <w:bottom w:val="single" w:sz="4" w:space="0" w:color="auto"/>
              <w:right w:val="single" w:sz="4" w:space="0" w:color="auto"/>
            </w:tcBorders>
          </w:tcPr>
          <w:p w:rsidR="0065401A">
            <w:pPr>
              <w:rPr>
                <w:color w:val="auto"/>
                <w:shd w:val="clear" w:color="auto" w:fill="auto"/>
              </w:rPr>
            </w:pPr>
            <w:r>
              <w:t>TBD</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b/>
                <w:color w:val="auto"/>
                <w:shd w:val="clear" w:color="auto" w:fill="auto"/>
              </w:rPr>
            </w:pPr>
            <w:r>
              <w:rPr>
                <w:b/>
              </w:rPr>
              <w:t>Required Criteria for GFIN Cross-Border Testing</w:t>
            </w:r>
          </w:p>
        </w:tc>
        <w:tc>
          <w:tcPr>
            <w:tcW w:w="9985" w:type="dxa"/>
            <w:tcBorders>
              <w:top w:val="single" w:sz="4" w:space="0" w:color="auto"/>
              <w:left w:val="single" w:sz="4" w:space="0" w:color="auto"/>
              <w:bottom w:val="single" w:sz="4" w:space="0" w:color="auto"/>
              <w:right w:val="single" w:sz="4" w:space="0" w:color="auto"/>
            </w:tcBorders>
          </w:tcPr>
          <w:p w:rsidR="0065401A">
            <w:pPr>
              <w:rPr>
                <w:color w:val="auto"/>
                <w:shd w:val="clear" w:color="auto" w:fill="auto"/>
              </w:rPr>
            </w:pP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color w:val="auto"/>
                <w:shd w:val="clear" w:color="auto" w:fill="auto"/>
              </w:rPr>
            </w:pPr>
            <w:r>
              <w:rPr>
                <w:b/>
              </w:rPr>
              <w:t xml:space="preserve">Our Contact Information </w:t>
            </w:r>
          </w:p>
        </w:tc>
        <w:tc>
          <w:tcPr>
            <w:tcW w:w="9985" w:type="dxa"/>
            <w:tcBorders>
              <w:top w:val="single" w:sz="4" w:space="0" w:color="auto"/>
              <w:left w:val="single" w:sz="4" w:space="0" w:color="auto"/>
              <w:bottom w:val="single" w:sz="4" w:space="0" w:color="auto"/>
              <w:right w:val="single" w:sz="4" w:space="0" w:color="auto"/>
            </w:tcBorders>
            <w:hideMark/>
          </w:tcPr>
          <w:p w:rsidR="00376648" w:rsidP="00376648">
            <w:pPr>
              <w:rPr>
                <w:b/>
                <w:bCs/>
                <w:color w:val="auto"/>
                <w:shd w:val="clear" w:color="auto" w:fill="auto"/>
              </w:rPr>
            </w:pPr>
            <w:r>
              <w:rPr>
                <w:b/>
                <w:bCs/>
              </w:rPr>
              <w:t>Matthew Williams, Managing Director of IT Strategic Planning</w:t>
            </w:r>
          </w:p>
          <w:p w:rsidR="00376648" w:rsidP="00376648">
            <w:pPr>
              <w:rPr>
                <w:color w:val="0563C1"/>
                <w:shd w:val="clear" w:color="auto" w:fill="auto"/>
              </w:rPr>
            </w:pPr>
            <w:r>
              <w:t xml:space="preserve">Email: </w:t>
            </w:r>
            <w:r>
              <w:fldChar w:fldCharType="begin"/>
            </w:r>
            <w:r>
              <w:instrText xml:space="preserve"> HYPERLINK "mailto:mwilliams@nfa.futures.org" </w:instrText>
            </w:r>
            <w:r>
              <w:fldChar w:fldCharType="separate"/>
            </w:r>
            <w:r>
              <w:rPr>
                <w:rStyle w:val="Hyperlink"/>
              </w:rPr>
              <w:t>mwilliams@nfa.futures.org</w:t>
            </w:r>
            <w:r>
              <w:fldChar w:fldCharType="end"/>
            </w:r>
          </w:p>
          <w:p w:rsidR="00376648" w:rsidP="00376648">
            <w:pPr>
              <w:rPr>
                <w:b/>
                <w:bCs/>
                <w:color w:val="auto"/>
                <w:shd w:val="clear" w:color="auto" w:fill="auto"/>
              </w:rPr>
            </w:pPr>
            <w:r>
              <w:t>Phone: 312-781-7871</w:t>
            </w:r>
          </w:p>
          <w:p w:rsidR="00376648">
            <w:pPr>
              <w:rPr>
                <w:b/>
                <w:bCs/>
                <w:color w:val="auto"/>
                <w:shd w:val="clear" w:color="auto" w:fill="auto"/>
              </w:rPr>
            </w:pPr>
          </w:p>
          <w:p w:rsidR="0065401A">
            <w:pPr>
              <w:rPr>
                <w:b/>
                <w:bCs/>
                <w:color w:val="auto"/>
                <w:shd w:val="clear" w:color="auto" w:fill="auto"/>
              </w:rPr>
            </w:pPr>
            <w:r>
              <w:rPr>
                <w:b/>
                <w:bCs/>
              </w:rPr>
              <w:t>Jennifer Levin, Associate Director, International Affairs</w:t>
            </w:r>
          </w:p>
          <w:p w:rsidR="0065401A">
            <w:pPr>
              <w:rPr>
                <w:color w:val="0563C1"/>
                <w:shd w:val="clear" w:color="auto" w:fill="auto"/>
              </w:rPr>
            </w:pPr>
            <w:r>
              <w:t xml:space="preserve">Email: </w:t>
            </w:r>
            <w:r>
              <w:fldChar w:fldCharType="begin"/>
            </w:r>
            <w:r>
              <w:instrText xml:space="preserve"> HYPERLINK "mailto:mjlevin@nfa.futures.org" </w:instrText>
            </w:r>
            <w:r>
              <w:fldChar w:fldCharType="separate"/>
            </w:r>
            <w:r>
              <w:rPr>
                <w:rStyle w:val="Hyperlink"/>
              </w:rPr>
              <w:t>jlevin@nfa.futures.org</w:t>
            </w:r>
            <w:r>
              <w:fldChar w:fldCharType="end"/>
            </w:r>
          </w:p>
          <w:p w:rsidR="0065401A" w:rsidRPr="00376648">
            <w:pPr>
              <w:rPr>
                <w:color w:val="auto"/>
                <w:shd w:val="clear" w:color="auto" w:fill="auto"/>
              </w:rPr>
            </w:pPr>
            <w:r>
              <w:t>Phone: 312-781-7836</w:t>
            </w:r>
          </w:p>
        </w:tc>
      </w:tr>
      <w:tr w:rsidTr="0065401A">
        <w:tblPrEx>
          <w:tblW w:w="0" w:type="auto"/>
          <w:tblInd w:w="0" w:type="dxa"/>
          <w:tblLook w:val="04A0"/>
        </w:tblPrEx>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401A">
            <w:pPr>
              <w:spacing w:after="200"/>
              <w:rPr>
                <w:b/>
                <w:color w:val="auto"/>
                <w:shd w:val="clear" w:color="auto" w:fill="auto"/>
              </w:rPr>
            </w:pPr>
            <w:r>
              <w:rPr>
                <w:b/>
              </w:rPr>
              <w:t>Website</w:t>
            </w:r>
          </w:p>
        </w:tc>
        <w:tc>
          <w:tcPr>
            <w:tcW w:w="9985" w:type="dxa"/>
            <w:tcBorders>
              <w:top w:val="single" w:sz="4" w:space="0" w:color="auto"/>
              <w:left w:val="single" w:sz="4" w:space="0" w:color="auto"/>
              <w:bottom w:val="single" w:sz="4" w:space="0" w:color="auto"/>
              <w:right w:val="single" w:sz="4" w:space="0" w:color="auto"/>
            </w:tcBorders>
            <w:hideMark/>
          </w:tcPr>
          <w:p w:rsidR="0065401A">
            <w:pPr>
              <w:rPr>
                <w:rStyle w:val="Hyperlink"/>
                <w:color w:val="0563C1"/>
                <w:shd w:val="clear" w:color="auto" w:fill="auto"/>
              </w:rPr>
            </w:pPr>
            <w:r>
              <w:fldChar w:fldCharType="begin"/>
            </w:r>
            <w:r>
              <w:instrText xml:space="preserve"> HYPERLINK "https://www.nfa.futures.org/index.html" </w:instrText>
            </w:r>
            <w:r>
              <w:fldChar w:fldCharType="separate"/>
            </w:r>
            <w:r>
              <w:rPr>
                <w:rStyle w:val="Hyperlink"/>
              </w:rPr>
              <w:t>https://www.nfa.futures.org/index.html</w:t>
            </w:r>
            <w:r>
              <w:fldChar w:fldCharType="end"/>
            </w:r>
          </w:p>
        </w:tc>
      </w:tr>
    </w:tbl>
    <w:p w:rsidR="0065401A" w:rsidP="0065401A">
      <w:pPr>
        <w:spacing w:after="200" w:line="276" w:lineRule="auto"/>
        <w:rPr>
          <w:color w:val="0563C1"/>
          <w:shd w:val="clear" w:color="auto" w:fill="auto"/>
        </w:rPr>
      </w:pPr>
    </w:p>
    <w:p w:rsidR="0065401A" w:rsidP="0065401A">
      <w:pPr>
        <w:rPr>
          <w:color w:val="0563C1"/>
          <w:shd w:val="clear" w:color="auto" w:fill="auto"/>
        </w:rPr>
      </w:pPr>
    </w:p>
    <w:p w:rsidR="002758BD">
      <w:pPr>
        <w:rPr>
          <w:color w:val="0563C1"/>
          <w:shd w:val="clear" w:color="auto" w:fill="auto"/>
        </w:rPr>
      </w:pPr>
    </w:p>
    <w:sectPr w:rsidSect="00654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01A"/>
    <w:pPr>
      <w:spacing w:after="120" w:line="240" w:lineRule="auto"/>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01A"/>
    <w:rPr>
      <w:color w:val="0563C1" w:themeColor="hyperlink"/>
      <w:u w:val="single"/>
    </w:rPr>
  </w:style>
  <w:style w:type="table" w:styleId="TableGrid">
    <w:name w:val="Table Grid"/>
    <w:basedOn w:val="TableNormal"/>
    <w:uiPriority w:val="59"/>
    <w:rsid w:val="0065401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E7FF4F1B0874BAF57905606EE8CC7" ma:contentTypeVersion="11" ma:contentTypeDescription="Create a new document." ma:contentTypeScope="" ma:versionID="a1b8e06063a16bf0171c4400bee49f64">
  <xsd:schema xmlns:xsd="http://www.w3.org/2001/XMLSchema" xmlns:xs="http://www.w3.org/2001/XMLSchema" xmlns:p="http://schemas.microsoft.com/office/2006/metadata/properties" xmlns:ns3="82d51e01-e51e-40b1-a68c-fc2506d3e10a" xmlns:ns4="ece54263-d455-44d0-8d3c-5af804cb86f6" targetNamespace="http://schemas.microsoft.com/office/2006/metadata/properties" ma:root="true" ma:fieldsID="3d75214210476a8f092236b6213be0e1" ns3:_="" ns4:_="">
    <xsd:import namespace="82d51e01-e51e-40b1-a68c-fc2506d3e10a"/>
    <xsd:import namespace="ece54263-d455-44d0-8d3c-5af804cb86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51e01-e51e-40b1-a68c-fc2506d3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54263-d455-44d0-8d3c-5af804cb86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C8C10-68A6-47EA-AAA7-9F50A426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51e01-e51e-40b1-a68c-fc2506d3e10a"/>
    <ds:schemaRef ds:uri="ece54263-d455-44d0-8d3c-5af804cb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21367-1A11-40E1-BD3F-E348CD35C710}">
  <ds:schemaRefs>
    <ds:schemaRef ds:uri="http://schemas.microsoft.com/sharepoint/v3/contenttype/forms"/>
  </ds:schemaRefs>
</ds:datastoreItem>
</file>

<file path=customXml/itemProps3.xml><?xml version="1.0" encoding="utf-8"?>
<ds:datastoreItem xmlns:ds="http://schemas.openxmlformats.org/officeDocument/2006/customXml" ds:itemID="{52BAF1C0-76B1-4942-B0DD-AAC1A74D0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otalTime>0</TotalTime>
  <Pages>2</Pages>
  <Words>293</Words>
  <Characters>1953</Characters>
  <Application>Microsoft Office Word</Application>
  <DocSecurity>0</DocSecurity>
  <Lines>17</Lines>
  <Paragraphs>33</Paragraphs>
  <ScaleCrop>false</ScaleCrop>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